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1287AB" w14:textId="30FF2422" w:rsidR="002E4512" w:rsidRDefault="002E4512">
      <w:pPr>
        <w:rPr>
          <w:b/>
          <w:bCs/>
        </w:rPr>
      </w:pPr>
      <w:r>
        <w:rPr>
          <w:noProof/>
        </w:rPr>
        <w:drawing>
          <wp:inline distT="0" distB="0" distL="0" distR="0" wp14:anchorId="471A03B8" wp14:editId="26AAB606">
            <wp:extent cx="6481945" cy="8763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16951" t="19430" r="51141" b="3255"/>
                    <a:stretch/>
                  </pic:blipFill>
                  <pic:spPr bwMode="auto">
                    <a:xfrm>
                      <a:off x="0" y="0"/>
                      <a:ext cx="6488745" cy="8772192"/>
                    </a:xfrm>
                    <a:prstGeom prst="rect">
                      <a:avLst/>
                    </a:prstGeom>
                    <a:ln>
                      <a:noFill/>
                    </a:ln>
                    <a:extLst>
                      <a:ext uri="{53640926-AAD7-44D8-BBD7-CCE9431645EC}">
                        <a14:shadowObscured xmlns:a14="http://schemas.microsoft.com/office/drawing/2010/main"/>
                      </a:ext>
                    </a:extLst>
                  </pic:spPr>
                </pic:pic>
              </a:graphicData>
            </a:graphic>
          </wp:inline>
        </w:drawing>
      </w:r>
    </w:p>
    <w:p w14:paraId="637E2CDE" w14:textId="76AB046A" w:rsidR="002E4512" w:rsidRDefault="002E4512">
      <w:pPr>
        <w:rPr>
          <w:b/>
          <w:bCs/>
        </w:rPr>
      </w:pPr>
    </w:p>
    <w:p w14:paraId="6CC134FE" w14:textId="77777777" w:rsidR="002E4512" w:rsidRDefault="002E4512">
      <w:pPr>
        <w:rPr>
          <w:b/>
          <w:bCs/>
        </w:rPr>
      </w:pPr>
    </w:p>
    <w:p w14:paraId="61E2D7EE" w14:textId="77777777" w:rsidR="002E4512" w:rsidRDefault="002E4512">
      <w:pPr>
        <w:rPr>
          <w:b/>
          <w:bCs/>
        </w:rPr>
      </w:pPr>
    </w:p>
    <w:p w14:paraId="7C041197" w14:textId="77777777" w:rsidR="002E4512" w:rsidRDefault="002E4512">
      <w:pPr>
        <w:rPr>
          <w:b/>
          <w:bCs/>
        </w:rPr>
      </w:pPr>
    </w:p>
    <w:p w14:paraId="688B0276" w14:textId="79BA52B6" w:rsidR="00F1737B" w:rsidRPr="00884D65" w:rsidRDefault="00884D65">
      <w:pPr>
        <w:rPr>
          <w:b/>
          <w:bCs/>
        </w:rPr>
      </w:pPr>
      <w:r w:rsidRPr="00884D65">
        <w:rPr>
          <w:b/>
          <w:bCs/>
        </w:rPr>
        <w:t>Introductory remarks</w:t>
      </w:r>
    </w:p>
    <w:p w14:paraId="71E3C215" w14:textId="49999125" w:rsidR="00884D65" w:rsidRDefault="00884D65"/>
    <w:p w14:paraId="53AE9E97" w14:textId="1F1B7D5D" w:rsidR="0014021F" w:rsidRDefault="0014021F" w:rsidP="0014021F">
      <w:r>
        <w:t>The East Midlands Police Academic Collaboration (EMPAC) exists to bring policing practitioners and academic researchers together to align our mixed skills and knowledge on topics of mutual benefit, with a view to gaining external research investment to improve policing in the region and beyond.</w:t>
      </w:r>
    </w:p>
    <w:p w14:paraId="656F1A02" w14:textId="77777777" w:rsidR="0014021F" w:rsidRDefault="0014021F"/>
    <w:p w14:paraId="21DF06A5" w14:textId="7CA51DA4" w:rsidR="00884D65" w:rsidRDefault="00884D65">
      <w:r>
        <w:t xml:space="preserve">Serious and organised crime is one of our identified thematic priorities and this report represents just one part of our ongoing effort </w:t>
      </w:r>
      <w:r w:rsidR="00147FD6">
        <w:t xml:space="preserve">to </w:t>
      </w:r>
      <w:r>
        <w:t xml:space="preserve">work together </w:t>
      </w:r>
      <w:r w:rsidR="00147FD6">
        <w:t xml:space="preserve">in order </w:t>
      </w:r>
      <w:r>
        <w:t xml:space="preserve">to better protect our communities. </w:t>
      </w:r>
    </w:p>
    <w:p w14:paraId="75929773" w14:textId="13C9011B" w:rsidR="00884D65" w:rsidRDefault="00884D65"/>
    <w:p w14:paraId="213C29A0" w14:textId="55A897F1" w:rsidR="00884D65" w:rsidRDefault="00884D65">
      <w:r>
        <w:t>As strategic EMPAC leads we are keen to see our collective effort grow to inform our policing services with the best evidence-base and innovation insights. We encourage you to work with us to be a part of policing research and innovation to improve policing.</w:t>
      </w:r>
    </w:p>
    <w:p w14:paraId="3FD9DED4" w14:textId="24464289" w:rsidR="00884D65" w:rsidRDefault="00884D65"/>
    <w:p w14:paraId="36733B3E" w14:textId="5BC6759F" w:rsidR="00884D65" w:rsidRPr="00884D65" w:rsidRDefault="00884D65">
      <w:pPr>
        <w:rPr>
          <w:i/>
          <w:iCs/>
          <w:sz w:val="20"/>
          <w:szCs w:val="20"/>
        </w:rPr>
      </w:pPr>
      <w:r w:rsidRPr="00884D65">
        <w:rPr>
          <w:i/>
          <w:iCs/>
          <w:sz w:val="20"/>
          <w:szCs w:val="20"/>
        </w:rPr>
        <w:t>Strategic EMPAC leads on behalf of the East Midlands Region</w:t>
      </w:r>
    </w:p>
    <w:p w14:paraId="374145CC" w14:textId="6E59376C" w:rsidR="00884D65" w:rsidRPr="00884D65" w:rsidRDefault="00884D65">
      <w:pPr>
        <w:rPr>
          <w:i/>
          <w:iCs/>
          <w:sz w:val="20"/>
          <w:szCs w:val="20"/>
        </w:rPr>
      </w:pPr>
      <w:r w:rsidRPr="00884D65">
        <w:rPr>
          <w:i/>
          <w:iCs/>
          <w:sz w:val="20"/>
          <w:szCs w:val="20"/>
        </w:rPr>
        <w:t xml:space="preserve">Police and Crime Commissioner </w:t>
      </w:r>
      <w:proofErr w:type="spellStart"/>
      <w:r w:rsidRPr="00884D65">
        <w:rPr>
          <w:i/>
          <w:iCs/>
          <w:sz w:val="20"/>
          <w:szCs w:val="20"/>
        </w:rPr>
        <w:t>Hardyal</w:t>
      </w:r>
      <w:proofErr w:type="spellEnd"/>
      <w:r w:rsidRPr="00884D65">
        <w:rPr>
          <w:i/>
          <w:iCs/>
          <w:sz w:val="20"/>
          <w:szCs w:val="20"/>
        </w:rPr>
        <w:t xml:space="preserve"> Dhindsa</w:t>
      </w:r>
    </w:p>
    <w:p w14:paraId="419A8A1F" w14:textId="7533DD5A" w:rsidR="00884D65" w:rsidRDefault="00884D65">
      <w:pPr>
        <w:rPr>
          <w:i/>
          <w:iCs/>
          <w:sz w:val="20"/>
          <w:szCs w:val="20"/>
        </w:rPr>
      </w:pPr>
      <w:r w:rsidRPr="00884D65">
        <w:rPr>
          <w:i/>
          <w:iCs/>
          <w:sz w:val="20"/>
          <w:szCs w:val="20"/>
        </w:rPr>
        <w:t>Chief Constable Rachel Swann</w:t>
      </w:r>
    </w:p>
    <w:p w14:paraId="61BFBC3B" w14:textId="13A50B10" w:rsidR="00D7191C" w:rsidRDefault="00D7191C">
      <w:pPr>
        <w:rPr>
          <w:i/>
          <w:iCs/>
          <w:sz w:val="20"/>
          <w:szCs w:val="20"/>
        </w:rPr>
      </w:pPr>
    </w:p>
    <w:p w14:paraId="3DA6204E" w14:textId="293232B8" w:rsidR="00D7191C" w:rsidRDefault="00D7191C">
      <w:pPr>
        <w:rPr>
          <w:i/>
          <w:iCs/>
          <w:sz w:val="20"/>
          <w:szCs w:val="20"/>
        </w:rPr>
      </w:pPr>
    </w:p>
    <w:p w14:paraId="05D08348" w14:textId="2B490ABE" w:rsidR="00D7191C" w:rsidRDefault="00D7191C">
      <w:pPr>
        <w:rPr>
          <w:i/>
          <w:iCs/>
          <w:sz w:val="20"/>
          <w:szCs w:val="20"/>
        </w:rPr>
      </w:pPr>
    </w:p>
    <w:p w14:paraId="2C2DED99" w14:textId="7900C080" w:rsidR="00D7191C" w:rsidRDefault="00D7191C">
      <w:pPr>
        <w:rPr>
          <w:i/>
          <w:iCs/>
          <w:sz w:val="20"/>
          <w:szCs w:val="20"/>
        </w:rPr>
      </w:pPr>
    </w:p>
    <w:p w14:paraId="2CE5D800" w14:textId="089C4840" w:rsidR="00D7191C" w:rsidRDefault="00D7191C">
      <w:pPr>
        <w:rPr>
          <w:i/>
          <w:iCs/>
          <w:sz w:val="20"/>
          <w:szCs w:val="20"/>
        </w:rPr>
      </w:pPr>
    </w:p>
    <w:p w14:paraId="6E8C8754" w14:textId="203097AE" w:rsidR="00D7191C" w:rsidRDefault="00D7191C">
      <w:pPr>
        <w:rPr>
          <w:i/>
          <w:iCs/>
          <w:sz w:val="20"/>
          <w:szCs w:val="20"/>
        </w:rPr>
      </w:pPr>
    </w:p>
    <w:p w14:paraId="0337B2ED" w14:textId="0AD7D0DE" w:rsidR="00D7191C" w:rsidRDefault="00D7191C">
      <w:pPr>
        <w:rPr>
          <w:i/>
          <w:iCs/>
          <w:sz w:val="20"/>
          <w:szCs w:val="20"/>
        </w:rPr>
      </w:pPr>
    </w:p>
    <w:p w14:paraId="147492EB" w14:textId="573509AB" w:rsidR="00D7191C" w:rsidRDefault="00D7191C">
      <w:pPr>
        <w:rPr>
          <w:i/>
          <w:iCs/>
          <w:sz w:val="20"/>
          <w:szCs w:val="20"/>
        </w:rPr>
      </w:pPr>
    </w:p>
    <w:p w14:paraId="28C0BA94" w14:textId="04C28CA5" w:rsidR="00D7191C" w:rsidRDefault="00D7191C">
      <w:pPr>
        <w:rPr>
          <w:i/>
          <w:iCs/>
          <w:sz w:val="20"/>
          <w:szCs w:val="20"/>
        </w:rPr>
      </w:pPr>
    </w:p>
    <w:p w14:paraId="369A575B" w14:textId="5A16077D" w:rsidR="00D7191C" w:rsidRDefault="00D7191C">
      <w:pPr>
        <w:rPr>
          <w:i/>
          <w:iCs/>
          <w:sz w:val="20"/>
          <w:szCs w:val="20"/>
        </w:rPr>
      </w:pPr>
    </w:p>
    <w:p w14:paraId="1A2A208D" w14:textId="5D2F8867" w:rsidR="00D7191C" w:rsidRDefault="00D7191C">
      <w:pPr>
        <w:rPr>
          <w:i/>
          <w:iCs/>
          <w:sz w:val="20"/>
          <w:szCs w:val="20"/>
        </w:rPr>
      </w:pPr>
    </w:p>
    <w:p w14:paraId="0390C6B1" w14:textId="64231DA9" w:rsidR="00D7191C" w:rsidRDefault="00D7191C">
      <w:pPr>
        <w:rPr>
          <w:i/>
          <w:iCs/>
          <w:sz w:val="20"/>
          <w:szCs w:val="20"/>
        </w:rPr>
      </w:pPr>
    </w:p>
    <w:p w14:paraId="3235C06D" w14:textId="5323DBE1" w:rsidR="00D7191C" w:rsidRDefault="00D7191C">
      <w:pPr>
        <w:rPr>
          <w:i/>
          <w:iCs/>
          <w:sz w:val="20"/>
          <w:szCs w:val="20"/>
        </w:rPr>
      </w:pPr>
    </w:p>
    <w:p w14:paraId="21B72F1E" w14:textId="0B97465A" w:rsidR="00D7191C" w:rsidRDefault="00D7191C">
      <w:pPr>
        <w:rPr>
          <w:i/>
          <w:iCs/>
          <w:sz w:val="20"/>
          <w:szCs w:val="20"/>
        </w:rPr>
      </w:pPr>
    </w:p>
    <w:p w14:paraId="3DEAFF11" w14:textId="664D6F4F" w:rsidR="00D7191C" w:rsidRPr="00512B57" w:rsidRDefault="00D7191C" w:rsidP="003E102B">
      <w:pPr>
        <w:spacing w:line="240" w:lineRule="auto"/>
        <w:rPr>
          <w:b/>
          <w:bCs/>
        </w:rPr>
      </w:pPr>
      <w:r w:rsidRPr="00512B57">
        <w:rPr>
          <w:b/>
          <w:bCs/>
        </w:rPr>
        <w:lastRenderedPageBreak/>
        <w:t>Background</w:t>
      </w:r>
      <w:r w:rsidR="00512B57" w:rsidRPr="00512B57">
        <w:rPr>
          <w:b/>
          <w:bCs/>
        </w:rPr>
        <w:t xml:space="preserve">: </w:t>
      </w:r>
      <w:r w:rsidR="00872C87">
        <w:rPr>
          <w:b/>
          <w:bCs/>
        </w:rPr>
        <w:t>T</w:t>
      </w:r>
      <w:r w:rsidRPr="00512B57">
        <w:rPr>
          <w:b/>
          <w:bCs/>
        </w:rPr>
        <w:t xml:space="preserve">he importance of </w:t>
      </w:r>
      <w:r w:rsidR="00872C87">
        <w:rPr>
          <w:b/>
          <w:bCs/>
        </w:rPr>
        <w:t xml:space="preserve">tackling </w:t>
      </w:r>
      <w:r w:rsidRPr="00512B57">
        <w:rPr>
          <w:b/>
          <w:bCs/>
        </w:rPr>
        <w:t>Serious Organised Crime</w:t>
      </w:r>
    </w:p>
    <w:p w14:paraId="6EED9A46" w14:textId="3DE26082" w:rsidR="00D7191C" w:rsidRPr="00512B57" w:rsidRDefault="00D7191C" w:rsidP="003E102B">
      <w:pPr>
        <w:spacing w:line="240" w:lineRule="auto"/>
      </w:pPr>
      <w:r w:rsidRPr="00512B57">
        <w:t>The UK Cabinet Office reported in 2018</w:t>
      </w:r>
      <w:r w:rsidRPr="00512B57">
        <w:rPr>
          <w:rStyle w:val="FootnoteReference"/>
        </w:rPr>
        <w:footnoteReference w:id="1"/>
      </w:r>
      <w:r w:rsidRPr="00512B57">
        <w:t xml:space="preserve"> that serious and organised crime (SOC) affects more UK citizens, more often, </w:t>
      </w:r>
      <w:r w:rsidR="005D3F3A" w:rsidRPr="00512B57">
        <w:t>than any other national security threat. It costs the UK at least £37 billion annually.</w:t>
      </w:r>
    </w:p>
    <w:p w14:paraId="1EFDDC0C" w14:textId="77777777" w:rsidR="005D3F3A" w:rsidRPr="00512B57" w:rsidRDefault="005D3F3A" w:rsidP="003E102B">
      <w:pPr>
        <w:spacing w:line="240" w:lineRule="auto"/>
      </w:pPr>
      <w:r w:rsidRPr="00512B57">
        <w:t>The national focus is to work together to:</w:t>
      </w:r>
    </w:p>
    <w:p w14:paraId="1ABCB8C4" w14:textId="5E74A1A2" w:rsidR="005D3F3A" w:rsidRPr="00512B57" w:rsidRDefault="005D3F3A" w:rsidP="003E102B">
      <w:pPr>
        <w:pStyle w:val="ListParagraph"/>
        <w:numPr>
          <w:ilvl w:val="0"/>
          <w:numId w:val="1"/>
        </w:numPr>
        <w:spacing w:line="240" w:lineRule="auto"/>
      </w:pPr>
      <w:r w:rsidRPr="00512B57">
        <w:t>Prevent people from engaging in serious and organised crime</w:t>
      </w:r>
    </w:p>
    <w:p w14:paraId="551E89F5" w14:textId="3B69B4B2" w:rsidR="005D3F3A" w:rsidRPr="00512B57" w:rsidRDefault="005D3F3A" w:rsidP="003E102B">
      <w:pPr>
        <w:pStyle w:val="ListParagraph"/>
        <w:numPr>
          <w:ilvl w:val="0"/>
          <w:numId w:val="1"/>
        </w:numPr>
        <w:spacing w:line="240" w:lineRule="auto"/>
      </w:pPr>
      <w:r w:rsidRPr="00512B57">
        <w:t>Protect victims, organisations and systems from its harms</w:t>
      </w:r>
    </w:p>
    <w:p w14:paraId="090E88AA" w14:textId="6145D945" w:rsidR="005D3F3A" w:rsidRPr="00512B57" w:rsidRDefault="005D3F3A" w:rsidP="003E102B">
      <w:pPr>
        <w:pStyle w:val="ListParagraph"/>
        <w:numPr>
          <w:ilvl w:val="0"/>
          <w:numId w:val="1"/>
        </w:numPr>
        <w:spacing w:line="240" w:lineRule="auto"/>
      </w:pPr>
      <w:r w:rsidRPr="00512B57">
        <w:t>Prepare for when it occurs, mitigating the impact</w:t>
      </w:r>
    </w:p>
    <w:p w14:paraId="4FAD0648" w14:textId="7DB00E7D" w:rsidR="005D3F3A" w:rsidRPr="00512B57" w:rsidRDefault="005D3F3A" w:rsidP="003E102B">
      <w:pPr>
        <w:pStyle w:val="ListParagraph"/>
        <w:spacing w:line="240" w:lineRule="auto"/>
      </w:pPr>
    </w:p>
    <w:p w14:paraId="6628D9A1" w14:textId="749DB1BC" w:rsidR="00512B57" w:rsidRPr="00512B57" w:rsidRDefault="00512B57" w:rsidP="003E102B">
      <w:pPr>
        <w:spacing w:line="240" w:lineRule="auto"/>
        <w:rPr>
          <w:b/>
          <w:bCs/>
        </w:rPr>
      </w:pPr>
      <w:r w:rsidRPr="00512B57">
        <w:rPr>
          <w:b/>
          <w:bCs/>
        </w:rPr>
        <w:t>Local impact and learning</w:t>
      </w:r>
    </w:p>
    <w:p w14:paraId="3A677EC6" w14:textId="392C434B" w:rsidR="00512B57" w:rsidRPr="00512B57" w:rsidRDefault="005D3F3A" w:rsidP="003E102B">
      <w:pPr>
        <w:spacing w:line="240" w:lineRule="auto"/>
      </w:pPr>
      <w:r w:rsidRPr="00512B57">
        <w:t xml:space="preserve">In the East Midlands, </w:t>
      </w:r>
      <w:r w:rsidR="00A1048B" w:rsidRPr="00512B57">
        <w:t>f</w:t>
      </w:r>
      <w:r w:rsidRPr="00512B57">
        <w:t>acili</w:t>
      </w:r>
      <w:r w:rsidR="00A1048B" w:rsidRPr="00512B57">
        <w:t>t</w:t>
      </w:r>
      <w:r w:rsidRPr="00512B57">
        <w:t>ated via the East Midlands Poli</w:t>
      </w:r>
      <w:r w:rsidR="00A1048B" w:rsidRPr="00512B57">
        <w:t>c</w:t>
      </w:r>
      <w:r w:rsidRPr="00512B57">
        <w:t>e Acad</w:t>
      </w:r>
      <w:r w:rsidR="00A1048B" w:rsidRPr="00512B57">
        <w:t>emic</w:t>
      </w:r>
      <w:r w:rsidRPr="00512B57">
        <w:t xml:space="preserve"> Collaborati</w:t>
      </w:r>
      <w:r w:rsidR="00A1048B" w:rsidRPr="00512B57">
        <w:t>o</w:t>
      </w:r>
      <w:r w:rsidRPr="00512B57">
        <w:t>n</w:t>
      </w:r>
      <w:r w:rsidRPr="00512B57">
        <w:rPr>
          <w:rStyle w:val="FootnoteReference"/>
        </w:rPr>
        <w:footnoteReference w:id="2"/>
      </w:r>
      <w:r w:rsidR="00A1048B" w:rsidRPr="00512B57">
        <w:t xml:space="preserve">, </w:t>
      </w:r>
      <w:r w:rsidR="001E59FA">
        <w:t xml:space="preserve">policing and academic researchers have started to work together </w:t>
      </w:r>
      <w:r w:rsidR="001E59FA" w:rsidRPr="00512B57">
        <w:t xml:space="preserve">to </w:t>
      </w:r>
      <w:r w:rsidR="0059154A">
        <w:t xml:space="preserve">build upon the existing regional strengths in policing SOC, to identify ways of achieving even more. </w:t>
      </w:r>
      <w:r w:rsidR="00D07BD4">
        <w:t xml:space="preserve">Working together, and on behalf of the </w:t>
      </w:r>
      <w:r w:rsidR="001E59FA">
        <w:t>region</w:t>
      </w:r>
      <w:r w:rsidR="00D07BD4">
        <w:t>,</w:t>
      </w:r>
      <w:r w:rsidR="0059154A">
        <w:t xml:space="preserve"> </w:t>
      </w:r>
      <w:r w:rsidR="00512B57" w:rsidRPr="00512B57">
        <w:t xml:space="preserve">Deputy Chief Constable Chris </w:t>
      </w:r>
      <w:proofErr w:type="spellStart"/>
      <w:r w:rsidR="00512B57" w:rsidRPr="00512B57">
        <w:t>Haward</w:t>
      </w:r>
      <w:proofErr w:type="spellEnd"/>
      <w:r w:rsidR="00512B57" w:rsidRPr="00512B57">
        <w:t xml:space="preserve"> </w:t>
      </w:r>
      <w:r w:rsidR="0059154A">
        <w:t xml:space="preserve">(EMSOU) is the operational lead and Professor Dave Walsh (DMU) </w:t>
      </w:r>
      <w:r w:rsidR="00D07BD4">
        <w:t>is the</w:t>
      </w:r>
      <w:r w:rsidR="0059154A">
        <w:t xml:space="preserve"> </w:t>
      </w:r>
      <w:r w:rsidR="00512B57" w:rsidRPr="00512B57">
        <w:t>academic lead.</w:t>
      </w:r>
    </w:p>
    <w:p w14:paraId="20CF0D2D" w14:textId="6A21C44B" w:rsidR="00512B57" w:rsidRPr="00512B57" w:rsidRDefault="00512B57" w:rsidP="003E102B">
      <w:pPr>
        <w:spacing w:line="240" w:lineRule="auto"/>
      </w:pPr>
      <w:r w:rsidRPr="00512B57">
        <w:t xml:space="preserve">This joint work brings together practitioners with researchers on the thematic topic of SOC to consider the existing knowledge base, </w:t>
      </w:r>
      <w:r w:rsidR="0059154A">
        <w:t xml:space="preserve">gap analysis and potential future research that might </w:t>
      </w:r>
      <w:r w:rsidRPr="00512B57">
        <w:t>help</w:t>
      </w:r>
      <w:r w:rsidR="0059154A">
        <w:t xml:space="preserve"> to </w:t>
      </w:r>
      <w:r w:rsidRPr="00512B57">
        <w:t xml:space="preserve">further </w:t>
      </w:r>
      <w:r w:rsidR="0059154A">
        <w:t xml:space="preserve">support </w:t>
      </w:r>
      <w:r w:rsidRPr="00512B57">
        <w:t xml:space="preserve">policing. </w:t>
      </w:r>
      <w:r w:rsidR="003E102B">
        <w:t>Taking a broad approach, a number of issues have been identified</w:t>
      </w:r>
      <w:r w:rsidR="00147FD6">
        <w:t>,</w:t>
      </w:r>
      <w:r w:rsidR="003E102B">
        <w:t xml:space="preserve"> and will the subject of future reports</w:t>
      </w:r>
      <w:r w:rsidR="00147FD6">
        <w:t>, which will</w:t>
      </w:r>
      <w:r w:rsidR="003E102B">
        <w:t xml:space="preserve"> allow the overall process to expand in bite-size bits through dissemination</w:t>
      </w:r>
      <w:r w:rsidR="00147FD6">
        <w:t xml:space="preserve"> and </w:t>
      </w:r>
      <w:r w:rsidR="003E102B">
        <w:t xml:space="preserve">further contribution and experimentation, where appropriate. </w:t>
      </w:r>
    </w:p>
    <w:p w14:paraId="6F3C4E4E" w14:textId="7AFAB6B5" w:rsidR="00512B57" w:rsidRPr="00512B57" w:rsidRDefault="00512B57" w:rsidP="003E102B">
      <w:pPr>
        <w:spacing w:line="240" w:lineRule="auto"/>
      </w:pPr>
      <w:r w:rsidRPr="00512B57">
        <w:t>To further improve policing capability, six key aspects have been identified that would benefit from further exploration and</w:t>
      </w:r>
      <w:r w:rsidR="00147FD6">
        <w:t xml:space="preserve"> </w:t>
      </w:r>
      <w:proofErr w:type="gramStart"/>
      <w:r w:rsidR="00147FD6">
        <w:t>analysis</w:t>
      </w:r>
      <w:r w:rsidRPr="00512B57">
        <w:t>:-</w:t>
      </w:r>
      <w:proofErr w:type="gramEnd"/>
    </w:p>
    <w:p w14:paraId="13AE5A1B" w14:textId="6D1AD40F" w:rsidR="00512B57" w:rsidRPr="00512B57" w:rsidRDefault="00512B57" w:rsidP="003E102B">
      <w:pPr>
        <w:pStyle w:val="ListParagraph"/>
        <w:numPr>
          <w:ilvl w:val="0"/>
          <w:numId w:val="2"/>
        </w:numPr>
        <w:spacing w:line="240" w:lineRule="auto"/>
      </w:pPr>
      <w:r w:rsidRPr="00512B57">
        <w:t>Links between UK and international Organised Crime Groups (OCGs)</w:t>
      </w:r>
    </w:p>
    <w:p w14:paraId="3946296D" w14:textId="769E0FE8" w:rsidR="00512B57" w:rsidRPr="00512B57" w:rsidRDefault="00512B57" w:rsidP="003E102B">
      <w:pPr>
        <w:pStyle w:val="ListParagraph"/>
        <w:numPr>
          <w:ilvl w:val="0"/>
          <w:numId w:val="2"/>
        </w:numPr>
        <w:spacing w:line="240" w:lineRule="auto"/>
      </w:pPr>
      <w:r w:rsidRPr="00512B57">
        <w:t>Digital technologies used by OCGs</w:t>
      </w:r>
    </w:p>
    <w:p w14:paraId="28D540ED" w14:textId="6ED95E88" w:rsidR="00512B57" w:rsidRPr="00512B57" w:rsidRDefault="00512B57" w:rsidP="003E102B">
      <w:pPr>
        <w:pStyle w:val="ListParagraph"/>
        <w:numPr>
          <w:ilvl w:val="0"/>
          <w:numId w:val="2"/>
        </w:numPr>
        <w:spacing w:line="240" w:lineRule="auto"/>
      </w:pPr>
      <w:r w:rsidRPr="00512B57">
        <w:t>Business models used by OCGs</w:t>
      </w:r>
    </w:p>
    <w:p w14:paraId="240C80A4" w14:textId="2E345181" w:rsidR="00512B57" w:rsidRPr="00512B57" w:rsidRDefault="00512B57" w:rsidP="003E102B">
      <w:pPr>
        <w:pStyle w:val="ListParagraph"/>
        <w:numPr>
          <w:ilvl w:val="0"/>
          <w:numId w:val="2"/>
        </w:numPr>
        <w:spacing w:line="240" w:lineRule="auto"/>
      </w:pPr>
      <w:r w:rsidRPr="00512B57">
        <w:t>Protecting individuals and communities from OCGs</w:t>
      </w:r>
    </w:p>
    <w:p w14:paraId="28277C9C" w14:textId="7F404957" w:rsidR="00512B57" w:rsidRPr="00512B57" w:rsidRDefault="00512B57" w:rsidP="003E102B">
      <w:pPr>
        <w:pStyle w:val="ListParagraph"/>
        <w:numPr>
          <w:ilvl w:val="0"/>
          <w:numId w:val="2"/>
        </w:numPr>
        <w:spacing w:line="240" w:lineRule="auto"/>
      </w:pPr>
      <w:r w:rsidRPr="00512B57">
        <w:t>Evaluating policing effectiveness in preventi</w:t>
      </w:r>
      <w:r w:rsidR="00147FD6">
        <w:t>ng</w:t>
      </w:r>
      <w:r w:rsidRPr="00512B57">
        <w:t>, disrupting and detecting OCGs</w:t>
      </w:r>
    </w:p>
    <w:p w14:paraId="613DEB7D" w14:textId="3516666A" w:rsidR="00512B57" w:rsidRPr="00512B57" w:rsidRDefault="00512B57" w:rsidP="003E102B">
      <w:pPr>
        <w:pStyle w:val="ListParagraph"/>
        <w:numPr>
          <w:ilvl w:val="0"/>
          <w:numId w:val="2"/>
        </w:numPr>
        <w:spacing w:line="240" w:lineRule="auto"/>
      </w:pPr>
      <w:r w:rsidRPr="00512B57">
        <w:t>Creating a more agile law enforcement mindset to counter the entrepreneurial nature of OCGs</w:t>
      </w:r>
    </w:p>
    <w:p w14:paraId="4E7CFA7B" w14:textId="77777777" w:rsidR="001E59FA" w:rsidRDefault="001E59FA" w:rsidP="003E102B">
      <w:pPr>
        <w:spacing w:line="240" w:lineRule="auto"/>
        <w:rPr>
          <w:b/>
          <w:bCs/>
        </w:rPr>
      </w:pPr>
    </w:p>
    <w:p w14:paraId="0BC59738" w14:textId="4781829F" w:rsidR="00512B57" w:rsidRPr="001E59FA" w:rsidRDefault="001E59FA" w:rsidP="003E102B">
      <w:pPr>
        <w:spacing w:line="240" w:lineRule="auto"/>
        <w:rPr>
          <w:b/>
          <w:bCs/>
        </w:rPr>
      </w:pPr>
      <w:r w:rsidRPr="001E59FA">
        <w:rPr>
          <w:b/>
          <w:bCs/>
        </w:rPr>
        <w:t>Opportunities</w:t>
      </w:r>
    </w:p>
    <w:p w14:paraId="6CE3B40C" w14:textId="3D9DCF2D" w:rsidR="0059154A" w:rsidRDefault="001E59FA" w:rsidP="003E102B">
      <w:pPr>
        <w:spacing w:line="240" w:lineRule="auto"/>
      </w:pPr>
      <w:r>
        <w:t xml:space="preserve">Joint discussions have so far revealed a number of themes </w:t>
      </w:r>
      <w:r w:rsidR="00147FD6">
        <w:t>which could be usefully developed.</w:t>
      </w:r>
      <w:r>
        <w:t xml:space="preserve"> This report is one of several that will update on </w:t>
      </w:r>
      <w:r w:rsidR="00147FD6">
        <w:t xml:space="preserve">the </w:t>
      </w:r>
      <w:r>
        <w:t xml:space="preserve">progress </w:t>
      </w:r>
      <w:r w:rsidR="00147FD6">
        <w:t xml:space="preserve">made in seeking </w:t>
      </w:r>
      <w:r>
        <w:t>further development</w:t>
      </w:r>
      <w:r w:rsidR="0059154A">
        <w:t>, involvement and support</w:t>
      </w:r>
      <w:r>
        <w:t xml:space="preserve"> </w:t>
      </w:r>
      <w:r w:rsidR="00147FD6">
        <w:t xml:space="preserve">in relation to the enhancement of the capability of policing </w:t>
      </w:r>
      <w:r w:rsidR="00E14153">
        <w:t>to combat SOC.</w:t>
      </w:r>
      <w:r w:rsidR="0059154A">
        <w:t xml:space="preserve"> </w:t>
      </w:r>
    </w:p>
    <w:p w14:paraId="1643B460" w14:textId="38989332" w:rsidR="003E102B" w:rsidRDefault="001E59FA" w:rsidP="003E102B">
      <w:pPr>
        <w:spacing w:line="240" w:lineRule="auto"/>
      </w:pPr>
      <w:r>
        <w:t xml:space="preserve">This </w:t>
      </w:r>
      <w:r w:rsidR="0059154A">
        <w:t xml:space="preserve">particular </w:t>
      </w:r>
      <w:r>
        <w:t>report targets the adaptability and agility gap between OCGs and policing. Policing adheres to many complex regulations and requirements and often has a command and control approach</w:t>
      </w:r>
      <w:r w:rsidR="00E14153">
        <w:t xml:space="preserve">, whereas </w:t>
      </w:r>
      <w:r w:rsidR="00C10709">
        <w:t>OCGs</w:t>
      </w:r>
      <w:r w:rsidR="00E14153">
        <w:t xml:space="preserve"> tend to operate on a more fluid basis. The following </w:t>
      </w:r>
      <w:proofErr w:type="gramStart"/>
      <w:r w:rsidR="00E14153">
        <w:t xml:space="preserve">table </w:t>
      </w:r>
      <w:r>
        <w:t xml:space="preserve"> </w:t>
      </w:r>
      <w:r w:rsidR="00E14153">
        <w:t>illustrates</w:t>
      </w:r>
      <w:proofErr w:type="gramEnd"/>
      <w:r w:rsidR="00E14153">
        <w:t xml:space="preserve"> the key differences in approach.</w:t>
      </w:r>
      <w:r>
        <w:t xml:space="preserve"> </w:t>
      </w:r>
    </w:p>
    <w:p w14:paraId="3E2D2A41" w14:textId="208BA07D" w:rsidR="003E102B" w:rsidRPr="003E102B" w:rsidRDefault="003E102B" w:rsidP="003E102B">
      <w:pPr>
        <w:spacing w:line="240" w:lineRule="auto"/>
        <w:rPr>
          <w:b/>
          <w:bCs/>
        </w:rPr>
      </w:pPr>
      <w:r>
        <w:rPr>
          <w:b/>
          <w:bCs/>
        </w:rPr>
        <w:lastRenderedPageBreak/>
        <w:t xml:space="preserve">Table 1. </w:t>
      </w:r>
      <w:r w:rsidRPr="003E102B">
        <w:rPr>
          <w:b/>
          <w:bCs/>
          <w:i/>
          <w:iCs/>
        </w:rPr>
        <w:t>Mind the gap: the difference between policing and crime adaptabilities</w:t>
      </w:r>
    </w:p>
    <w:tbl>
      <w:tblPr>
        <w:tblStyle w:val="TableGrid"/>
        <w:tblW w:w="9640" w:type="dxa"/>
        <w:tblInd w:w="-289" w:type="dxa"/>
        <w:tblLook w:val="04A0" w:firstRow="1" w:lastRow="0" w:firstColumn="1" w:lastColumn="0" w:noHBand="0" w:noVBand="1"/>
      </w:tblPr>
      <w:tblGrid>
        <w:gridCol w:w="1560"/>
        <w:gridCol w:w="3969"/>
        <w:gridCol w:w="4111"/>
      </w:tblGrid>
      <w:tr w:rsidR="009A2AF4" w14:paraId="2ED3E877" w14:textId="77777777" w:rsidTr="00622F73">
        <w:tc>
          <w:tcPr>
            <w:tcW w:w="1560" w:type="dxa"/>
            <w:shd w:val="clear" w:color="auto" w:fill="8EAADB" w:themeFill="accent1" w:themeFillTint="99"/>
          </w:tcPr>
          <w:p w14:paraId="6CD3313E" w14:textId="77777777" w:rsidR="009A2AF4" w:rsidRDefault="009A2AF4" w:rsidP="003E102B"/>
        </w:tc>
        <w:tc>
          <w:tcPr>
            <w:tcW w:w="3969" w:type="dxa"/>
            <w:shd w:val="clear" w:color="auto" w:fill="8EAADB" w:themeFill="accent1" w:themeFillTint="99"/>
          </w:tcPr>
          <w:p w14:paraId="7D1515D9" w14:textId="6AC81F60" w:rsidR="009A2AF4" w:rsidRDefault="009A2AF4" w:rsidP="003E102B">
            <w:pPr>
              <w:jc w:val="center"/>
            </w:pPr>
            <w:r>
              <w:t>Police</w:t>
            </w:r>
          </w:p>
        </w:tc>
        <w:tc>
          <w:tcPr>
            <w:tcW w:w="4111" w:type="dxa"/>
            <w:shd w:val="clear" w:color="auto" w:fill="8EAADB" w:themeFill="accent1" w:themeFillTint="99"/>
          </w:tcPr>
          <w:p w14:paraId="2CF42FA0" w14:textId="7456BBB1" w:rsidR="009A2AF4" w:rsidRDefault="009A2AF4" w:rsidP="003E102B">
            <w:pPr>
              <w:jc w:val="center"/>
            </w:pPr>
            <w:r>
              <w:t>OCG</w:t>
            </w:r>
          </w:p>
        </w:tc>
      </w:tr>
      <w:tr w:rsidR="009A2AF4" w14:paraId="243212BB" w14:textId="77777777" w:rsidTr="00622F73">
        <w:tc>
          <w:tcPr>
            <w:tcW w:w="1560" w:type="dxa"/>
            <w:shd w:val="clear" w:color="auto" w:fill="DBDBDB" w:themeFill="accent3" w:themeFillTint="66"/>
          </w:tcPr>
          <w:p w14:paraId="1289E0D2" w14:textId="452CB852" w:rsidR="009A2AF4" w:rsidRDefault="009A2AF4" w:rsidP="003E102B">
            <w:r>
              <w:t>Organisational character</w:t>
            </w:r>
          </w:p>
        </w:tc>
        <w:tc>
          <w:tcPr>
            <w:tcW w:w="3969" w:type="dxa"/>
          </w:tcPr>
          <w:p w14:paraId="4A3714FB" w14:textId="77777777" w:rsidR="009A2AF4" w:rsidRPr="00BA40E4" w:rsidRDefault="009A2AF4" w:rsidP="003E102B">
            <w:pPr>
              <w:pStyle w:val="ListParagraph"/>
              <w:numPr>
                <w:ilvl w:val="0"/>
                <w:numId w:val="3"/>
              </w:numPr>
              <w:jc w:val="center"/>
              <w:rPr>
                <w:sz w:val="20"/>
                <w:szCs w:val="20"/>
              </w:rPr>
            </w:pPr>
            <w:r w:rsidRPr="00BA40E4">
              <w:rPr>
                <w:sz w:val="20"/>
                <w:szCs w:val="20"/>
              </w:rPr>
              <w:t>Rule bound</w:t>
            </w:r>
          </w:p>
          <w:p w14:paraId="7B15635F" w14:textId="77777777" w:rsidR="009A2AF4" w:rsidRPr="00BA40E4" w:rsidRDefault="009A2AF4" w:rsidP="003E102B">
            <w:pPr>
              <w:pStyle w:val="ListParagraph"/>
              <w:numPr>
                <w:ilvl w:val="0"/>
                <w:numId w:val="3"/>
              </w:numPr>
              <w:jc w:val="center"/>
              <w:rPr>
                <w:sz w:val="20"/>
                <w:szCs w:val="20"/>
              </w:rPr>
            </w:pPr>
            <w:r w:rsidRPr="00BA40E4">
              <w:rPr>
                <w:sz w:val="20"/>
                <w:szCs w:val="20"/>
              </w:rPr>
              <w:t>Non-entrepreneurial</w:t>
            </w:r>
          </w:p>
          <w:p w14:paraId="2B6DBF5F" w14:textId="14C8B865" w:rsidR="009A2AF4" w:rsidRPr="00BA40E4" w:rsidRDefault="009A2AF4" w:rsidP="003E102B">
            <w:pPr>
              <w:pStyle w:val="ListParagraph"/>
              <w:numPr>
                <w:ilvl w:val="0"/>
                <w:numId w:val="3"/>
              </w:numPr>
              <w:jc w:val="center"/>
              <w:rPr>
                <w:sz w:val="20"/>
                <w:szCs w:val="20"/>
              </w:rPr>
            </w:pPr>
            <w:r w:rsidRPr="00BA40E4">
              <w:rPr>
                <w:sz w:val="20"/>
                <w:szCs w:val="20"/>
              </w:rPr>
              <w:t>Structured</w:t>
            </w:r>
          </w:p>
          <w:p w14:paraId="216DAD2B" w14:textId="77777777" w:rsidR="009A2AF4" w:rsidRPr="00BA40E4" w:rsidRDefault="009A2AF4" w:rsidP="003E102B">
            <w:pPr>
              <w:pStyle w:val="ListParagraph"/>
              <w:numPr>
                <w:ilvl w:val="0"/>
                <w:numId w:val="3"/>
              </w:numPr>
              <w:jc w:val="center"/>
              <w:rPr>
                <w:sz w:val="20"/>
                <w:szCs w:val="20"/>
              </w:rPr>
            </w:pPr>
            <w:r w:rsidRPr="00BA40E4">
              <w:rPr>
                <w:sz w:val="20"/>
                <w:szCs w:val="20"/>
              </w:rPr>
              <w:t>Responding to public expectations</w:t>
            </w:r>
          </w:p>
          <w:p w14:paraId="03D69B4A" w14:textId="13D7AE07" w:rsidR="009A2AF4" w:rsidRPr="00BA40E4" w:rsidRDefault="009A2AF4" w:rsidP="003E102B">
            <w:pPr>
              <w:pStyle w:val="ListParagraph"/>
              <w:numPr>
                <w:ilvl w:val="0"/>
                <w:numId w:val="3"/>
              </w:numPr>
              <w:jc w:val="center"/>
              <w:rPr>
                <w:sz w:val="20"/>
                <w:szCs w:val="20"/>
              </w:rPr>
            </w:pPr>
            <w:r w:rsidRPr="00BA40E4">
              <w:rPr>
                <w:sz w:val="20"/>
                <w:szCs w:val="20"/>
              </w:rPr>
              <w:t>Political</w:t>
            </w:r>
          </w:p>
          <w:p w14:paraId="20842B01" w14:textId="77777777" w:rsidR="009A2AF4" w:rsidRPr="00BA40E4" w:rsidRDefault="009A2AF4" w:rsidP="003E102B">
            <w:pPr>
              <w:pStyle w:val="ListParagraph"/>
              <w:numPr>
                <w:ilvl w:val="0"/>
                <w:numId w:val="3"/>
              </w:numPr>
              <w:jc w:val="center"/>
              <w:rPr>
                <w:sz w:val="20"/>
                <w:szCs w:val="20"/>
              </w:rPr>
            </w:pPr>
            <w:r w:rsidRPr="00BA40E4">
              <w:rPr>
                <w:sz w:val="20"/>
                <w:szCs w:val="20"/>
              </w:rPr>
              <w:t>Risk averse</w:t>
            </w:r>
          </w:p>
          <w:p w14:paraId="792F0155" w14:textId="77777777" w:rsidR="009A2AF4" w:rsidRPr="00BA40E4" w:rsidRDefault="009A2AF4" w:rsidP="003E102B">
            <w:pPr>
              <w:pStyle w:val="ListParagraph"/>
              <w:numPr>
                <w:ilvl w:val="0"/>
                <w:numId w:val="3"/>
              </w:numPr>
              <w:jc w:val="center"/>
              <w:rPr>
                <w:sz w:val="20"/>
                <w:szCs w:val="20"/>
              </w:rPr>
            </w:pPr>
            <w:r w:rsidRPr="00BA40E4">
              <w:rPr>
                <w:sz w:val="20"/>
                <w:szCs w:val="20"/>
              </w:rPr>
              <w:t>Specialist units</w:t>
            </w:r>
          </w:p>
          <w:p w14:paraId="523D70E0" w14:textId="77777777" w:rsidR="009A2AF4" w:rsidRPr="00BA40E4" w:rsidRDefault="009A2AF4" w:rsidP="003E102B">
            <w:pPr>
              <w:pStyle w:val="ListParagraph"/>
              <w:numPr>
                <w:ilvl w:val="0"/>
                <w:numId w:val="3"/>
              </w:numPr>
              <w:jc w:val="center"/>
              <w:rPr>
                <w:sz w:val="20"/>
                <w:szCs w:val="20"/>
              </w:rPr>
            </w:pPr>
            <w:r w:rsidRPr="00BA40E4">
              <w:rPr>
                <w:sz w:val="20"/>
                <w:szCs w:val="20"/>
              </w:rPr>
              <w:t>Siloed approaches</w:t>
            </w:r>
          </w:p>
          <w:p w14:paraId="4E82859F" w14:textId="76316F49" w:rsidR="009A2AF4" w:rsidRPr="00BA40E4" w:rsidRDefault="009A2AF4" w:rsidP="003E102B">
            <w:pPr>
              <w:pStyle w:val="ListParagraph"/>
              <w:numPr>
                <w:ilvl w:val="0"/>
                <w:numId w:val="3"/>
              </w:numPr>
              <w:jc w:val="center"/>
              <w:rPr>
                <w:sz w:val="20"/>
                <w:szCs w:val="20"/>
              </w:rPr>
            </w:pPr>
            <w:r w:rsidRPr="00BA40E4">
              <w:rPr>
                <w:sz w:val="20"/>
                <w:szCs w:val="20"/>
              </w:rPr>
              <w:t>Command and control</w:t>
            </w:r>
          </w:p>
        </w:tc>
        <w:tc>
          <w:tcPr>
            <w:tcW w:w="4111" w:type="dxa"/>
          </w:tcPr>
          <w:p w14:paraId="5B7C012A" w14:textId="680FF117" w:rsidR="009A2AF4" w:rsidRPr="00BA40E4" w:rsidRDefault="00BA40E4" w:rsidP="003E102B">
            <w:pPr>
              <w:pStyle w:val="ListParagraph"/>
              <w:numPr>
                <w:ilvl w:val="0"/>
                <w:numId w:val="3"/>
              </w:numPr>
              <w:jc w:val="center"/>
              <w:rPr>
                <w:sz w:val="20"/>
                <w:szCs w:val="20"/>
              </w:rPr>
            </w:pPr>
            <w:r w:rsidRPr="00BA40E4">
              <w:rPr>
                <w:sz w:val="20"/>
                <w:szCs w:val="20"/>
              </w:rPr>
              <w:t>Agile</w:t>
            </w:r>
          </w:p>
          <w:p w14:paraId="617693E3" w14:textId="2F8B276F" w:rsidR="00BA40E4" w:rsidRPr="00BA40E4" w:rsidRDefault="00BA40E4" w:rsidP="003E102B">
            <w:pPr>
              <w:pStyle w:val="ListParagraph"/>
              <w:numPr>
                <w:ilvl w:val="0"/>
                <w:numId w:val="3"/>
              </w:numPr>
              <w:jc w:val="center"/>
              <w:rPr>
                <w:sz w:val="20"/>
                <w:szCs w:val="20"/>
              </w:rPr>
            </w:pPr>
            <w:r w:rsidRPr="00BA40E4">
              <w:rPr>
                <w:sz w:val="20"/>
                <w:szCs w:val="20"/>
              </w:rPr>
              <w:t>Entrepreneurial</w:t>
            </w:r>
          </w:p>
          <w:p w14:paraId="7A10F822" w14:textId="06874B26" w:rsidR="00BA40E4" w:rsidRPr="00BA40E4" w:rsidRDefault="00BA40E4" w:rsidP="003E102B">
            <w:pPr>
              <w:pStyle w:val="ListParagraph"/>
              <w:numPr>
                <w:ilvl w:val="0"/>
                <w:numId w:val="3"/>
              </w:numPr>
              <w:jc w:val="center"/>
              <w:rPr>
                <w:sz w:val="20"/>
                <w:szCs w:val="20"/>
              </w:rPr>
            </w:pPr>
            <w:r w:rsidRPr="00BA40E4">
              <w:rPr>
                <w:sz w:val="20"/>
                <w:szCs w:val="20"/>
              </w:rPr>
              <w:t>Flexible</w:t>
            </w:r>
          </w:p>
          <w:p w14:paraId="79E52F16" w14:textId="0708A7A3" w:rsidR="00BA40E4" w:rsidRPr="00BA40E4" w:rsidRDefault="00BA40E4" w:rsidP="003E102B">
            <w:pPr>
              <w:pStyle w:val="ListParagraph"/>
              <w:numPr>
                <w:ilvl w:val="0"/>
                <w:numId w:val="3"/>
              </w:numPr>
              <w:jc w:val="center"/>
              <w:rPr>
                <w:sz w:val="20"/>
                <w:szCs w:val="20"/>
              </w:rPr>
            </w:pPr>
            <w:r w:rsidRPr="00BA40E4">
              <w:rPr>
                <w:sz w:val="20"/>
                <w:szCs w:val="20"/>
              </w:rPr>
              <w:t>De</w:t>
            </w:r>
            <w:r w:rsidR="00622F73">
              <w:rPr>
                <w:sz w:val="20"/>
                <w:szCs w:val="20"/>
              </w:rPr>
              <w:t>-</w:t>
            </w:r>
            <w:r w:rsidR="00872C87" w:rsidRPr="00BA40E4">
              <w:rPr>
                <w:sz w:val="20"/>
                <w:szCs w:val="20"/>
              </w:rPr>
              <w:t>centred</w:t>
            </w:r>
          </w:p>
          <w:p w14:paraId="1ECA52B4" w14:textId="3899BEEE" w:rsidR="00BA40E4" w:rsidRPr="00BA40E4" w:rsidRDefault="00BA40E4" w:rsidP="003E102B">
            <w:pPr>
              <w:pStyle w:val="ListParagraph"/>
              <w:numPr>
                <w:ilvl w:val="0"/>
                <w:numId w:val="3"/>
              </w:numPr>
              <w:jc w:val="center"/>
              <w:rPr>
                <w:sz w:val="20"/>
                <w:szCs w:val="20"/>
              </w:rPr>
            </w:pPr>
            <w:r w:rsidRPr="00BA40E4">
              <w:rPr>
                <w:sz w:val="20"/>
                <w:szCs w:val="20"/>
              </w:rPr>
              <w:t>Not constrained by rules, borders, etc</w:t>
            </w:r>
          </w:p>
          <w:p w14:paraId="004CFA7C" w14:textId="74A53D90" w:rsidR="00BA40E4" w:rsidRPr="00BA40E4" w:rsidRDefault="00BA40E4" w:rsidP="003E102B">
            <w:pPr>
              <w:pStyle w:val="ListParagraph"/>
              <w:numPr>
                <w:ilvl w:val="0"/>
                <w:numId w:val="3"/>
              </w:numPr>
              <w:jc w:val="center"/>
              <w:rPr>
                <w:sz w:val="20"/>
                <w:szCs w:val="20"/>
              </w:rPr>
            </w:pPr>
            <w:r w:rsidRPr="00BA40E4">
              <w:rPr>
                <w:sz w:val="20"/>
                <w:szCs w:val="20"/>
              </w:rPr>
              <w:t>Promiscuous partnering for common objectives</w:t>
            </w:r>
          </w:p>
        </w:tc>
      </w:tr>
      <w:tr w:rsidR="009A2AF4" w14:paraId="3DD8EC32" w14:textId="77777777" w:rsidTr="00622F73">
        <w:tc>
          <w:tcPr>
            <w:tcW w:w="1560" w:type="dxa"/>
            <w:shd w:val="clear" w:color="auto" w:fill="DBDBDB" w:themeFill="accent3" w:themeFillTint="66"/>
          </w:tcPr>
          <w:p w14:paraId="7D1FCCBA" w14:textId="21773B99" w:rsidR="009A2AF4" w:rsidRDefault="009A2AF4" w:rsidP="003E102B">
            <w:r>
              <w:t>Focus</w:t>
            </w:r>
          </w:p>
        </w:tc>
        <w:tc>
          <w:tcPr>
            <w:tcW w:w="3969" w:type="dxa"/>
          </w:tcPr>
          <w:p w14:paraId="6F5730A5" w14:textId="6C1EA21E" w:rsidR="009A2AF4" w:rsidRPr="00BA40E4" w:rsidRDefault="00BA40E4" w:rsidP="003E102B">
            <w:pPr>
              <w:pStyle w:val="ListParagraph"/>
              <w:numPr>
                <w:ilvl w:val="0"/>
                <w:numId w:val="4"/>
              </w:numPr>
              <w:jc w:val="center"/>
              <w:rPr>
                <w:sz w:val="20"/>
                <w:szCs w:val="20"/>
              </w:rPr>
            </w:pPr>
            <w:r w:rsidRPr="00BA40E4">
              <w:rPr>
                <w:sz w:val="20"/>
                <w:szCs w:val="20"/>
              </w:rPr>
              <w:t>Reactive</w:t>
            </w:r>
          </w:p>
          <w:p w14:paraId="6E3E46E4" w14:textId="3B651F5F" w:rsidR="00BA40E4" w:rsidRPr="00BA40E4" w:rsidRDefault="00BA40E4" w:rsidP="003E102B">
            <w:pPr>
              <w:pStyle w:val="ListParagraph"/>
              <w:numPr>
                <w:ilvl w:val="0"/>
                <w:numId w:val="4"/>
              </w:numPr>
              <w:jc w:val="center"/>
              <w:rPr>
                <w:sz w:val="20"/>
                <w:szCs w:val="20"/>
              </w:rPr>
            </w:pPr>
            <w:r w:rsidRPr="00BA40E4">
              <w:rPr>
                <w:sz w:val="20"/>
                <w:szCs w:val="20"/>
              </w:rPr>
              <w:t>Historical</w:t>
            </w:r>
          </w:p>
          <w:p w14:paraId="6756EE85" w14:textId="2B1F7784" w:rsidR="00BA40E4" w:rsidRPr="00BA40E4" w:rsidRDefault="00BA40E4" w:rsidP="003E102B">
            <w:pPr>
              <w:pStyle w:val="ListParagraph"/>
              <w:numPr>
                <w:ilvl w:val="0"/>
                <w:numId w:val="4"/>
              </w:numPr>
              <w:jc w:val="center"/>
              <w:rPr>
                <w:sz w:val="20"/>
                <w:szCs w:val="20"/>
              </w:rPr>
            </w:pPr>
            <w:r w:rsidRPr="00BA40E4">
              <w:rPr>
                <w:sz w:val="20"/>
                <w:szCs w:val="20"/>
              </w:rPr>
              <w:t>Short term future horizon</w:t>
            </w:r>
          </w:p>
          <w:p w14:paraId="47FDE3CC" w14:textId="37706ECB" w:rsidR="00BA40E4" w:rsidRPr="00BA40E4" w:rsidRDefault="00BA40E4" w:rsidP="003E102B">
            <w:pPr>
              <w:jc w:val="center"/>
              <w:rPr>
                <w:sz w:val="20"/>
                <w:szCs w:val="20"/>
              </w:rPr>
            </w:pPr>
          </w:p>
        </w:tc>
        <w:tc>
          <w:tcPr>
            <w:tcW w:w="4111" w:type="dxa"/>
          </w:tcPr>
          <w:p w14:paraId="322592CA" w14:textId="77777777" w:rsidR="009A2AF4" w:rsidRPr="00BA40E4" w:rsidRDefault="00BA40E4" w:rsidP="003E102B">
            <w:pPr>
              <w:pStyle w:val="ListParagraph"/>
              <w:numPr>
                <w:ilvl w:val="0"/>
                <w:numId w:val="4"/>
              </w:numPr>
              <w:jc w:val="center"/>
              <w:rPr>
                <w:sz w:val="20"/>
                <w:szCs w:val="20"/>
              </w:rPr>
            </w:pPr>
            <w:r w:rsidRPr="00BA40E4">
              <w:rPr>
                <w:sz w:val="20"/>
                <w:szCs w:val="20"/>
              </w:rPr>
              <w:t>Forward-looking</w:t>
            </w:r>
          </w:p>
          <w:p w14:paraId="683811AC" w14:textId="5C5200B0" w:rsidR="00BA40E4" w:rsidRPr="00BA40E4" w:rsidRDefault="00BA40E4" w:rsidP="003E102B">
            <w:pPr>
              <w:pStyle w:val="ListParagraph"/>
              <w:numPr>
                <w:ilvl w:val="0"/>
                <w:numId w:val="4"/>
              </w:numPr>
              <w:jc w:val="center"/>
              <w:rPr>
                <w:sz w:val="20"/>
                <w:szCs w:val="20"/>
              </w:rPr>
            </w:pPr>
            <w:r w:rsidRPr="00BA40E4">
              <w:rPr>
                <w:sz w:val="20"/>
                <w:szCs w:val="20"/>
              </w:rPr>
              <w:t>Horizon-scanning</w:t>
            </w:r>
          </w:p>
          <w:p w14:paraId="50F146AA" w14:textId="126CBBD0" w:rsidR="00BA40E4" w:rsidRPr="00BA40E4" w:rsidRDefault="00BA40E4" w:rsidP="003E102B">
            <w:pPr>
              <w:pStyle w:val="ListParagraph"/>
              <w:numPr>
                <w:ilvl w:val="0"/>
                <w:numId w:val="4"/>
              </w:numPr>
              <w:jc w:val="center"/>
              <w:rPr>
                <w:sz w:val="20"/>
                <w:szCs w:val="20"/>
              </w:rPr>
            </w:pPr>
            <w:r w:rsidRPr="00BA40E4">
              <w:rPr>
                <w:sz w:val="20"/>
                <w:szCs w:val="20"/>
              </w:rPr>
              <w:t>Seek vulnerabilities for exploitation</w:t>
            </w:r>
          </w:p>
          <w:p w14:paraId="7218D60F" w14:textId="11FE6A13" w:rsidR="00BA40E4" w:rsidRPr="00BA40E4" w:rsidRDefault="00BA40E4" w:rsidP="003E102B">
            <w:pPr>
              <w:pStyle w:val="ListParagraph"/>
              <w:rPr>
                <w:sz w:val="20"/>
                <w:szCs w:val="20"/>
              </w:rPr>
            </w:pPr>
          </w:p>
        </w:tc>
      </w:tr>
      <w:tr w:rsidR="009A2AF4" w14:paraId="033C1E68" w14:textId="77777777" w:rsidTr="00622F73">
        <w:trPr>
          <w:trHeight w:val="1517"/>
        </w:trPr>
        <w:tc>
          <w:tcPr>
            <w:tcW w:w="1560" w:type="dxa"/>
            <w:shd w:val="clear" w:color="auto" w:fill="DBDBDB" w:themeFill="accent3" w:themeFillTint="66"/>
          </w:tcPr>
          <w:p w14:paraId="22282596" w14:textId="397BC78C" w:rsidR="009A2AF4" w:rsidRDefault="009A2AF4" w:rsidP="003E102B">
            <w:r>
              <w:t>Operational</w:t>
            </w:r>
          </w:p>
        </w:tc>
        <w:tc>
          <w:tcPr>
            <w:tcW w:w="3969" w:type="dxa"/>
          </w:tcPr>
          <w:p w14:paraId="0812C5EF" w14:textId="77777777" w:rsidR="009A2AF4" w:rsidRPr="00BA40E4" w:rsidRDefault="00BA40E4" w:rsidP="003E102B">
            <w:pPr>
              <w:pStyle w:val="ListParagraph"/>
              <w:numPr>
                <w:ilvl w:val="0"/>
                <w:numId w:val="5"/>
              </w:numPr>
              <w:jc w:val="center"/>
              <w:rPr>
                <w:sz w:val="20"/>
                <w:szCs w:val="20"/>
              </w:rPr>
            </w:pPr>
            <w:r w:rsidRPr="00BA40E4">
              <w:rPr>
                <w:sz w:val="20"/>
                <w:szCs w:val="20"/>
              </w:rPr>
              <w:t>Tried and tested</w:t>
            </w:r>
          </w:p>
          <w:p w14:paraId="70B97838" w14:textId="1389748B" w:rsidR="00BA40E4" w:rsidRPr="00BA40E4" w:rsidRDefault="00BA40E4" w:rsidP="003E102B">
            <w:pPr>
              <w:pStyle w:val="ListParagraph"/>
              <w:numPr>
                <w:ilvl w:val="0"/>
                <w:numId w:val="5"/>
              </w:numPr>
              <w:jc w:val="center"/>
              <w:rPr>
                <w:sz w:val="20"/>
                <w:szCs w:val="20"/>
              </w:rPr>
            </w:pPr>
            <w:r w:rsidRPr="00BA40E4">
              <w:rPr>
                <w:sz w:val="20"/>
                <w:szCs w:val="20"/>
              </w:rPr>
              <w:t>Stifled creativity</w:t>
            </w:r>
          </w:p>
          <w:p w14:paraId="68AB700A" w14:textId="77777777" w:rsidR="00BA40E4" w:rsidRPr="00BA40E4" w:rsidRDefault="00BA40E4" w:rsidP="003E102B">
            <w:pPr>
              <w:pStyle w:val="ListParagraph"/>
              <w:numPr>
                <w:ilvl w:val="0"/>
                <w:numId w:val="5"/>
              </w:numPr>
              <w:jc w:val="center"/>
              <w:rPr>
                <w:sz w:val="20"/>
                <w:szCs w:val="20"/>
              </w:rPr>
            </w:pPr>
            <w:r w:rsidRPr="00BA40E4">
              <w:rPr>
                <w:sz w:val="20"/>
                <w:szCs w:val="20"/>
              </w:rPr>
              <w:t>Constrained out of the box thinking</w:t>
            </w:r>
          </w:p>
          <w:p w14:paraId="6661C825" w14:textId="56C0653F" w:rsidR="00BA40E4" w:rsidRPr="00BA40E4" w:rsidRDefault="00BA40E4" w:rsidP="003E102B">
            <w:pPr>
              <w:pStyle w:val="ListParagraph"/>
              <w:numPr>
                <w:ilvl w:val="0"/>
                <w:numId w:val="5"/>
              </w:numPr>
              <w:jc w:val="center"/>
              <w:rPr>
                <w:sz w:val="20"/>
                <w:szCs w:val="20"/>
              </w:rPr>
            </w:pPr>
            <w:r w:rsidRPr="00BA40E4">
              <w:rPr>
                <w:sz w:val="20"/>
                <w:szCs w:val="20"/>
              </w:rPr>
              <w:t>No resource for critical reflection</w:t>
            </w:r>
          </w:p>
          <w:p w14:paraId="13536C24" w14:textId="77777777" w:rsidR="00BA40E4" w:rsidRDefault="00BA40E4" w:rsidP="003E102B">
            <w:pPr>
              <w:pStyle w:val="ListParagraph"/>
              <w:numPr>
                <w:ilvl w:val="0"/>
                <w:numId w:val="5"/>
              </w:numPr>
              <w:jc w:val="center"/>
              <w:rPr>
                <w:sz w:val="20"/>
                <w:szCs w:val="20"/>
              </w:rPr>
            </w:pPr>
            <w:r w:rsidRPr="00BA40E4">
              <w:rPr>
                <w:sz w:val="20"/>
                <w:szCs w:val="20"/>
              </w:rPr>
              <w:t>Non-experimental</w:t>
            </w:r>
          </w:p>
          <w:p w14:paraId="79369D17" w14:textId="7AD0971A" w:rsidR="00BA40E4" w:rsidRPr="00BA40E4" w:rsidRDefault="00BA40E4" w:rsidP="003E102B">
            <w:pPr>
              <w:pStyle w:val="ListParagraph"/>
              <w:rPr>
                <w:sz w:val="20"/>
                <w:szCs w:val="20"/>
              </w:rPr>
            </w:pPr>
          </w:p>
        </w:tc>
        <w:tc>
          <w:tcPr>
            <w:tcW w:w="4111" w:type="dxa"/>
          </w:tcPr>
          <w:p w14:paraId="6594EDA4" w14:textId="6C77AA36" w:rsidR="009A2AF4" w:rsidRDefault="00BA40E4" w:rsidP="003E102B">
            <w:pPr>
              <w:pStyle w:val="ListParagraph"/>
              <w:numPr>
                <w:ilvl w:val="0"/>
                <w:numId w:val="5"/>
              </w:numPr>
              <w:jc w:val="center"/>
              <w:rPr>
                <w:sz w:val="20"/>
                <w:szCs w:val="20"/>
              </w:rPr>
            </w:pPr>
            <w:r w:rsidRPr="00BA40E4">
              <w:rPr>
                <w:sz w:val="20"/>
                <w:szCs w:val="20"/>
              </w:rPr>
              <w:t>Adapt to technological changes</w:t>
            </w:r>
          </w:p>
          <w:p w14:paraId="45C9D9BF" w14:textId="6541E13B" w:rsidR="00BA40E4" w:rsidRDefault="00BA40E4" w:rsidP="003E102B">
            <w:pPr>
              <w:pStyle w:val="ListParagraph"/>
              <w:numPr>
                <w:ilvl w:val="0"/>
                <w:numId w:val="5"/>
              </w:numPr>
              <w:jc w:val="center"/>
              <w:rPr>
                <w:sz w:val="20"/>
                <w:szCs w:val="20"/>
              </w:rPr>
            </w:pPr>
            <w:r>
              <w:rPr>
                <w:sz w:val="20"/>
                <w:szCs w:val="20"/>
              </w:rPr>
              <w:t>Creative</w:t>
            </w:r>
          </w:p>
          <w:p w14:paraId="3F8391C3" w14:textId="10DE1273" w:rsidR="00BA40E4" w:rsidRDefault="00BA40E4" w:rsidP="003E102B">
            <w:pPr>
              <w:pStyle w:val="ListParagraph"/>
              <w:numPr>
                <w:ilvl w:val="0"/>
                <w:numId w:val="5"/>
              </w:numPr>
              <w:jc w:val="center"/>
              <w:rPr>
                <w:sz w:val="20"/>
                <w:szCs w:val="20"/>
              </w:rPr>
            </w:pPr>
            <w:r>
              <w:rPr>
                <w:sz w:val="20"/>
                <w:szCs w:val="20"/>
              </w:rPr>
              <w:t>Adaptive</w:t>
            </w:r>
          </w:p>
          <w:p w14:paraId="2EF54F51" w14:textId="4C4DE95A" w:rsidR="00BA40E4" w:rsidRDefault="00BA40E4" w:rsidP="003E102B">
            <w:pPr>
              <w:pStyle w:val="ListParagraph"/>
              <w:numPr>
                <w:ilvl w:val="0"/>
                <w:numId w:val="5"/>
              </w:numPr>
              <w:jc w:val="center"/>
              <w:rPr>
                <w:sz w:val="20"/>
                <w:szCs w:val="20"/>
              </w:rPr>
            </w:pPr>
            <w:r>
              <w:rPr>
                <w:sz w:val="20"/>
                <w:szCs w:val="20"/>
              </w:rPr>
              <w:t>Rapid</w:t>
            </w:r>
          </w:p>
          <w:p w14:paraId="76C86153" w14:textId="221F0216" w:rsidR="00BA40E4" w:rsidRDefault="00BA40E4" w:rsidP="003E102B">
            <w:pPr>
              <w:pStyle w:val="ListParagraph"/>
              <w:numPr>
                <w:ilvl w:val="0"/>
                <w:numId w:val="5"/>
              </w:numPr>
              <w:jc w:val="center"/>
              <w:rPr>
                <w:sz w:val="20"/>
                <w:szCs w:val="20"/>
              </w:rPr>
            </w:pPr>
            <w:r>
              <w:rPr>
                <w:sz w:val="20"/>
                <w:szCs w:val="20"/>
              </w:rPr>
              <w:t>Outsource specialisms</w:t>
            </w:r>
          </w:p>
          <w:p w14:paraId="3F358500" w14:textId="0190F6BD" w:rsidR="00BA40E4" w:rsidRPr="00BA40E4" w:rsidRDefault="00BA40E4" w:rsidP="003E102B">
            <w:pPr>
              <w:pStyle w:val="ListParagraph"/>
              <w:numPr>
                <w:ilvl w:val="0"/>
                <w:numId w:val="5"/>
              </w:numPr>
              <w:jc w:val="center"/>
              <w:rPr>
                <w:sz w:val="20"/>
                <w:szCs w:val="20"/>
              </w:rPr>
            </w:pPr>
            <w:r>
              <w:rPr>
                <w:sz w:val="20"/>
                <w:szCs w:val="20"/>
              </w:rPr>
              <w:t>Franchise</w:t>
            </w:r>
          </w:p>
        </w:tc>
      </w:tr>
    </w:tbl>
    <w:p w14:paraId="6D5A2872" w14:textId="77777777" w:rsidR="00622F73" w:rsidRDefault="00622F73" w:rsidP="003E102B">
      <w:pPr>
        <w:spacing w:line="240" w:lineRule="auto"/>
      </w:pPr>
    </w:p>
    <w:p w14:paraId="4652662E" w14:textId="6C0238A7" w:rsidR="001E59FA" w:rsidRDefault="00BA40E4" w:rsidP="003E102B">
      <w:pPr>
        <w:spacing w:line="240" w:lineRule="auto"/>
      </w:pPr>
      <w:r>
        <w:t xml:space="preserve">This is an exercise in </w:t>
      </w:r>
      <w:r w:rsidR="003E102B">
        <w:t>‘</w:t>
      </w:r>
      <w:r>
        <w:t>understand</w:t>
      </w:r>
      <w:r w:rsidR="00622F73">
        <w:t>ing</w:t>
      </w:r>
      <w:r>
        <w:t xml:space="preserve"> the enemy</w:t>
      </w:r>
      <w:r w:rsidR="00622F73">
        <w:t>,</w:t>
      </w:r>
      <w:r>
        <w:t xml:space="preserve"> and understanding yourself</w:t>
      </w:r>
      <w:r w:rsidR="003E102B">
        <w:t>’</w:t>
      </w:r>
      <w:r w:rsidR="00E14153">
        <w:t>, that is, appreciating the dynamics of the criminal marketplace</w:t>
      </w:r>
      <w:r w:rsidR="00955AF3">
        <w:t>,</w:t>
      </w:r>
      <w:r w:rsidR="00E14153">
        <w:t xml:space="preserve"> how the actions of policing resonate in that environment and being </w:t>
      </w:r>
      <w:r w:rsidR="0082264A">
        <w:t>attuned</w:t>
      </w:r>
      <w:r w:rsidR="00E14153">
        <w:t xml:space="preserve"> to the operational and strategic parameters within which OCGs operate. On</w:t>
      </w:r>
      <w:r w:rsidR="00955AF3">
        <w:t>e</w:t>
      </w:r>
      <w:r w:rsidR="00903282">
        <w:t xml:space="preserve"> </w:t>
      </w:r>
      <w:r w:rsidR="00622F73">
        <w:t>emergent key theme</w:t>
      </w:r>
      <w:r w:rsidR="00E14153">
        <w:t xml:space="preserve"> that has been </w:t>
      </w:r>
      <w:r w:rsidR="0082264A">
        <w:t>identified</w:t>
      </w:r>
      <w:r w:rsidR="00622F73">
        <w:t xml:space="preserve"> is the </w:t>
      </w:r>
      <w:r>
        <w:t xml:space="preserve">difference in </w:t>
      </w:r>
      <w:r w:rsidR="00E14153">
        <w:t xml:space="preserve">the capacity for </w:t>
      </w:r>
      <w:r>
        <w:t>adaptability</w:t>
      </w:r>
      <w:r w:rsidR="00E14153">
        <w:t xml:space="preserve"> within the policing and OCG environment, respectively</w:t>
      </w:r>
      <w:r w:rsidR="00622F73">
        <w:t xml:space="preserve">. </w:t>
      </w:r>
      <w:r>
        <w:t xml:space="preserve">The </w:t>
      </w:r>
      <w:r w:rsidR="0059154A">
        <w:t>research indicate</w:t>
      </w:r>
      <w:r w:rsidR="00E14153">
        <w:t>s</w:t>
      </w:r>
      <w:r w:rsidR="0059154A">
        <w:t xml:space="preserve"> that </w:t>
      </w:r>
      <w:r>
        <w:t xml:space="preserve">policing is often taken by surprise, whilst OCGs </w:t>
      </w:r>
      <w:r w:rsidR="0059154A">
        <w:t xml:space="preserve">appear to be </w:t>
      </w:r>
      <w:r>
        <w:t xml:space="preserve">more able to </w:t>
      </w:r>
      <w:r w:rsidR="00E14153">
        <w:t>anticipate likely</w:t>
      </w:r>
      <w:r>
        <w:t xml:space="preserve"> policing tactics and responses.  </w:t>
      </w:r>
    </w:p>
    <w:p w14:paraId="46F54626" w14:textId="4C9B734E" w:rsidR="00D154C2" w:rsidRDefault="00D154C2" w:rsidP="003E102B">
      <w:pPr>
        <w:spacing w:line="240" w:lineRule="auto"/>
      </w:pPr>
      <w:r>
        <w:t>Based on the existing international knowledge</w:t>
      </w:r>
      <w:r w:rsidR="004334AF">
        <w:t xml:space="preserve"> </w:t>
      </w:r>
      <w:r>
        <w:t>base</w:t>
      </w:r>
      <w:r w:rsidR="004334AF">
        <w:t>,</w:t>
      </w:r>
      <w:r>
        <w:t xml:space="preserve"> there is an opportunity to identify </w:t>
      </w:r>
      <w:r w:rsidR="00622F73">
        <w:t xml:space="preserve">and adopt </w:t>
      </w:r>
      <w:r>
        <w:t xml:space="preserve">ways of policing </w:t>
      </w:r>
      <w:r w:rsidR="004334AF">
        <w:t xml:space="preserve">which might facilitate the gaining of a degree of the </w:t>
      </w:r>
      <w:r>
        <w:t xml:space="preserve">adaptability initiative. </w:t>
      </w:r>
      <w:r w:rsidR="00D07BD4">
        <w:t>Much of the existing evidence shows</w:t>
      </w:r>
      <w:r>
        <w:t xml:space="preserve"> </w:t>
      </w:r>
      <w:r w:rsidR="00D07BD4">
        <w:t>the long</w:t>
      </w:r>
      <w:r w:rsidR="005C6848">
        <w:t>-</w:t>
      </w:r>
      <w:r w:rsidR="00D07BD4">
        <w:t xml:space="preserve">term net gains </w:t>
      </w:r>
      <w:r w:rsidR="004334AF">
        <w:t xml:space="preserve">that result from the </w:t>
      </w:r>
      <w:r w:rsidR="00D07BD4">
        <w:t xml:space="preserve">sharing and utilising </w:t>
      </w:r>
      <w:r w:rsidR="004334AF">
        <w:t xml:space="preserve">of </w:t>
      </w:r>
      <w:r w:rsidR="00D07BD4">
        <w:t>transnational policing</w:t>
      </w:r>
      <w:r w:rsidR="004334AF">
        <w:t>’s pragmatic experience which enables</w:t>
      </w:r>
      <w:r w:rsidR="00D07BD4">
        <w:t xml:space="preserve"> more fluid, adaptive</w:t>
      </w:r>
      <w:r w:rsidR="005C6848">
        <w:t xml:space="preserve"> and agile monitoring </w:t>
      </w:r>
      <w:r w:rsidR="004334AF">
        <w:t xml:space="preserve">of the policing/OCG dynamic </w:t>
      </w:r>
      <w:r w:rsidR="005C6848">
        <w:t xml:space="preserve">and </w:t>
      </w:r>
      <w:r w:rsidR="004334AF">
        <w:t>the opportunity to apply novel techniques and approaches in an attempt to mitigate the impact of SOC.</w:t>
      </w:r>
      <w:r w:rsidR="00D07BD4">
        <w:t xml:space="preserve"> </w:t>
      </w:r>
    </w:p>
    <w:p w14:paraId="22890D33" w14:textId="2905AAAA" w:rsidR="003E102B" w:rsidRDefault="003E102B" w:rsidP="003E102B">
      <w:pPr>
        <w:spacing w:line="240" w:lineRule="auto"/>
      </w:pPr>
      <w:r>
        <w:t xml:space="preserve">The risk of not acknowledging the above gap means policing is likely to fall behind, pitched against an entrepreneurial and agile enemy. </w:t>
      </w:r>
    </w:p>
    <w:p w14:paraId="777F910B" w14:textId="4163A89A" w:rsidR="00BA40E4" w:rsidRDefault="00BA40E4" w:rsidP="003E102B">
      <w:pPr>
        <w:spacing w:line="240" w:lineRule="auto"/>
      </w:pPr>
    </w:p>
    <w:p w14:paraId="2747ECA5" w14:textId="0D4E4179" w:rsidR="004334AF" w:rsidRDefault="004334AF" w:rsidP="003E102B">
      <w:pPr>
        <w:spacing w:line="240" w:lineRule="auto"/>
      </w:pPr>
    </w:p>
    <w:p w14:paraId="54A1A283" w14:textId="561AB31C" w:rsidR="00D7191C" w:rsidRPr="003E102B" w:rsidRDefault="00D7191C" w:rsidP="003E102B">
      <w:pPr>
        <w:spacing w:line="240" w:lineRule="auto"/>
        <w:rPr>
          <w:b/>
          <w:bCs/>
        </w:rPr>
      </w:pPr>
      <w:r w:rsidRPr="003E102B">
        <w:rPr>
          <w:b/>
          <w:bCs/>
        </w:rPr>
        <w:t xml:space="preserve">Engagement and future </w:t>
      </w:r>
      <w:r w:rsidR="005C6848" w:rsidRPr="003E102B">
        <w:rPr>
          <w:b/>
          <w:bCs/>
        </w:rPr>
        <w:t>c</w:t>
      </w:r>
      <w:r w:rsidRPr="003E102B">
        <w:rPr>
          <w:b/>
          <w:bCs/>
        </w:rPr>
        <w:t>ommitment</w:t>
      </w:r>
    </w:p>
    <w:p w14:paraId="59561D0D" w14:textId="250B46EB" w:rsidR="005C6848" w:rsidRDefault="005C6848" w:rsidP="003E102B">
      <w:pPr>
        <w:spacing w:line="240" w:lineRule="auto"/>
      </w:pPr>
      <w:r w:rsidRPr="003E102B">
        <w:t xml:space="preserve">Already </w:t>
      </w:r>
      <w:r w:rsidR="00872C87">
        <w:t xml:space="preserve">together, over </w:t>
      </w:r>
      <w:bookmarkStart w:id="0" w:name="_GoBack"/>
      <w:bookmarkEnd w:id="0"/>
      <w:r w:rsidR="00872C87">
        <w:t xml:space="preserve"> 1,000</w:t>
      </w:r>
      <w:r w:rsidRPr="003E102B">
        <w:t xml:space="preserve"> academic and police hours have been invested</w:t>
      </w:r>
      <w:r w:rsidR="00872C87">
        <w:t xml:space="preserve"> so far</w:t>
      </w:r>
      <w:r w:rsidRPr="003E102B">
        <w:t xml:space="preserve"> into the SOC research process, supported by some initial funding from De Montfort University. There is now the opportunity to widen the evidence and insight base by involv</w:t>
      </w:r>
      <w:r w:rsidR="004334AF">
        <w:t>ing</w:t>
      </w:r>
      <w:r w:rsidRPr="003E102B">
        <w:t xml:space="preserve"> other researchers and practitioners (such as Drs Craig Paterson and Dick Severn at Sheffield Hallam</w:t>
      </w:r>
      <w:r w:rsidR="0082264A">
        <w:t>,</w:t>
      </w:r>
      <w:r w:rsidRPr="003E102B">
        <w:t xml:space="preserve"> Dave Hill of Northampton University </w:t>
      </w:r>
      <w:r w:rsidR="004334AF">
        <w:t>(</w:t>
      </w:r>
      <w:r w:rsidRPr="003E102B">
        <w:t>who has already commenced some linked work at EMSOU</w:t>
      </w:r>
      <w:r w:rsidR="004334AF">
        <w:t xml:space="preserve"> </w:t>
      </w:r>
      <w:r w:rsidR="0082264A">
        <w:t xml:space="preserve">and </w:t>
      </w:r>
      <w:r w:rsidR="0082264A" w:rsidRPr="003E102B">
        <w:t>Professor Rob McCusker</w:t>
      </w:r>
      <w:r w:rsidR="00AC30BB">
        <w:t>)</w:t>
      </w:r>
      <w:r w:rsidR="0082264A" w:rsidRPr="003E102B">
        <w:t xml:space="preserve"> </w:t>
      </w:r>
      <w:r w:rsidR="004334AF" w:rsidRPr="003E102B">
        <w:t xml:space="preserve">on </w:t>
      </w:r>
      <w:r w:rsidR="004334AF">
        <w:t xml:space="preserve">the </w:t>
      </w:r>
      <w:r w:rsidR="004334AF" w:rsidRPr="003E102B">
        <w:t xml:space="preserve">transnational policing </w:t>
      </w:r>
      <w:r w:rsidR="004334AF">
        <w:t xml:space="preserve">evidence base. </w:t>
      </w:r>
      <w:r w:rsidR="0082264A">
        <w:t xml:space="preserve">Importantly, their work must be complemented by the wider </w:t>
      </w:r>
      <w:r w:rsidRPr="003E102B">
        <w:t xml:space="preserve">policing perspective </w:t>
      </w:r>
      <w:r w:rsidR="0082264A">
        <w:t xml:space="preserve">from areas </w:t>
      </w:r>
      <w:r w:rsidRPr="003E102B">
        <w:t xml:space="preserve">such as neighbourhood policing and </w:t>
      </w:r>
      <w:r w:rsidR="0082264A">
        <w:t>from i</w:t>
      </w:r>
      <w:r w:rsidRPr="003E102B">
        <w:t xml:space="preserve">ntelligence </w:t>
      </w:r>
      <w:r w:rsidR="0082264A">
        <w:t xml:space="preserve">drawn </w:t>
      </w:r>
      <w:r w:rsidRPr="003E102B">
        <w:t>from regional forces</w:t>
      </w:r>
      <w:r w:rsidR="0082264A">
        <w:t>.</w:t>
      </w:r>
    </w:p>
    <w:p w14:paraId="52ACA4B4" w14:textId="45852DFA" w:rsidR="00356441" w:rsidRPr="003E102B" w:rsidRDefault="00356441" w:rsidP="003E102B">
      <w:pPr>
        <w:spacing w:line="240" w:lineRule="auto"/>
      </w:pPr>
      <w:r>
        <w:lastRenderedPageBreak/>
        <w:t>In the interim, based upon the joint research activity</w:t>
      </w:r>
      <w:r w:rsidR="00AF5B2E">
        <w:t>,</w:t>
      </w:r>
      <w:r>
        <w:t xml:space="preserve"> </w:t>
      </w:r>
      <w:r w:rsidRPr="00AF5B2E">
        <w:rPr>
          <w:i/>
          <w:iCs/>
        </w:rPr>
        <w:t>red teaming</w:t>
      </w:r>
      <w:r>
        <w:rPr>
          <w:rStyle w:val="FootnoteReference"/>
        </w:rPr>
        <w:footnoteReference w:id="3"/>
      </w:r>
      <w:r>
        <w:t xml:space="preserve"> has been identified as a potential </w:t>
      </w:r>
      <w:r w:rsidR="00AF5B2E">
        <w:t xml:space="preserve">tactic </w:t>
      </w:r>
      <w:r>
        <w:t>worthy of further examination and possible trialling</w:t>
      </w:r>
      <w:r w:rsidR="00AF5B2E">
        <w:t>, although some preparation would be required to maximise the learning opportunity.</w:t>
      </w:r>
    </w:p>
    <w:p w14:paraId="3B51F944" w14:textId="06F05FC2" w:rsidR="005C6848" w:rsidRPr="003E102B" w:rsidRDefault="005C6848" w:rsidP="003E102B">
      <w:pPr>
        <w:spacing w:line="240" w:lineRule="auto"/>
      </w:pPr>
      <w:r w:rsidRPr="003E102B">
        <w:t>The long-term aspiration is to bring in sustainable research investment funding to the region f</w:t>
      </w:r>
      <w:r w:rsidR="003E102B" w:rsidRPr="003E102B">
        <w:t>r</w:t>
      </w:r>
      <w:r w:rsidRPr="003E102B">
        <w:t>om fund</w:t>
      </w:r>
      <w:r w:rsidR="003E102B" w:rsidRPr="003E102B">
        <w:t>i</w:t>
      </w:r>
      <w:r w:rsidRPr="003E102B">
        <w:t>ng bodies such as the Economic and Social Research Council.</w:t>
      </w:r>
      <w:r w:rsidR="003E102B" w:rsidRPr="003E102B">
        <w:t xml:space="preserve"> Research bids take time and are highly competitive but the strong collaborative approach we have in the region puts us in a good position to demonstrate interaction between theory and practice</w:t>
      </w:r>
      <w:r w:rsidR="0082264A">
        <w:t>,</w:t>
      </w:r>
      <w:r w:rsidR="003E102B" w:rsidRPr="003E102B">
        <w:t xml:space="preserve"> with a </w:t>
      </w:r>
      <w:r w:rsidR="0082264A">
        <w:t xml:space="preserve">demonstrable </w:t>
      </w:r>
      <w:r w:rsidR="003E102B" w:rsidRPr="003E102B">
        <w:t>track record of active learning, change and impact.</w:t>
      </w:r>
    </w:p>
    <w:p w14:paraId="582E4D19" w14:textId="0350A6AE" w:rsidR="003E102B" w:rsidRPr="003E102B" w:rsidRDefault="003E102B" w:rsidP="003E102B">
      <w:pPr>
        <w:spacing w:line="240" w:lineRule="auto"/>
      </w:pPr>
    </w:p>
    <w:p w14:paraId="48171895" w14:textId="76762984" w:rsidR="003E102B" w:rsidRPr="00AF5B2E" w:rsidRDefault="003E102B" w:rsidP="003E102B">
      <w:pPr>
        <w:spacing w:line="240" w:lineRule="auto"/>
        <w:rPr>
          <w:b/>
          <w:bCs/>
        </w:rPr>
      </w:pPr>
      <w:r w:rsidRPr="00AF5B2E">
        <w:rPr>
          <w:b/>
          <w:bCs/>
        </w:rPr>
        <w:t>Recommendations</w:t>
      </w:r>
    </w:p>
    <w:p w14:paraId="25A8917D" w14:textId="77777777" w:rsidR="003768E8" w:rsidRDefault="003768E8" w:rsidP="00356441">
      <w:pPr>
        <w:pStyle w:val="ListParagraph"/>
        <w:numPr>
          <w:ilvl w:val="0"/>
          <w:numId w:val="6"/>
        </w:numPr>
        <w:spacing w:line="240" w:lineRule="auto"/>
      </w:pPr>
      <w:r>
        <w:t>We share what we have done so far.</w:t>
      </w:r>
    </w:p>
    <w:p w14:paraId="560F25B6" w14:textId="77777777" w:rsidR="003768E8" w:rsidRDefault="003768E8" w:rsidP="003768E8">
      <w:pPr>
        <w:pStyle w:val="ListParagraph"/>
        <w:spacing w:line="240" w:lineRule="auto"/>
        <w:ind w:left="1440"/>
      </w:pPr>
    </w:p>
    <w:p w14:paraId="1AC5FD61" w14:textId="4EE22E18" w:rsidR="003E102B" w:rsidRPr="00AF5B2E" w:rsidRDefault="00356441" w:rsidP="003768E8">
      <w:pPr>
        <w:pStyle w:val="ListParagraph"/>
        <w:spacing w:line="240" w:lineRule="auto"/>
        <w:ind w:left="1440"/>
      </w:pPr>
      <w:r w:rsidRPr="00AF5B2E">
        <w:t xml:space="preserve">The existing joint SOC research work, led by DCC </w:t>
      </w:r>
      <w:proofErr w:type="spellStart"/>
      <w:r w:rsidRPr="00AF5B2E">
        <w:t>Haward</w:t>
      </w:r>
      <w:proofErr w:type="spellEnd"/>
      <w:r w:rsidRPr="00AF5B2E">
        <w:t xml:space="preserve"> and Professor Walsh is shared to consolidate and expand its potential, with the support of the region’s forces. Reports can be posted on the EMPAC web for ready access to policing and academic colleagues.</w:t>
      </w:r>
    </w:p>
    <w:p w14:paraId="7300C934" w14:textId="77777777" w:rsidR="003768E8" w:rsidRDefault="003768E8" w:rsidP="003768E8">
      <w:pPr>
        <w:pStyle w:val="ListParagraph"/>
        <w:spacing w:line="240" w:lineRule="auto"/>
      </w:pPr>
    </w:p>
    <w:p w14:paraId="16E68CE9" w14:textId="7A00500F" w:rsidR="003768E8" w:rsidRDefault="003768E8" w:rsidP="00356441">
      <w:pPr>
        <w:pStyle w:val="ListParagraph"/>
        <w:numPr>
          <w:ilvl w:val="0"/>
          <w:numId w:val="6"/>
        </w:numPr>
        <w:spacing w:line="240" w:lineRule="auto"/>
      </w:pPr>
      <w:r>
        <w:t>We get the best evidence.</w:t>
      </w:r>
    </w:p>
    <w:p w14:paraId="3450E4FB" w14:textId="77777777" w:rsidR="003768E8" w:rsidRDefault="003768E8" w:rsidP="003768E8">
      <w:pPr>
        <w:pStyle w:val="ListParagraph"/>
        <w:spacing w:line="240" w:lineRule="auto"/>
      </w:pPr>
    </w:p>
    <w:p w14:paraId="73B219AC" w14:textId="529A2F26" w:rsidR="00356441" w:rsidRPr="00AF5B2E" w:rsidRDefault="00356441" w:rsidP="003768E8">
      <w:pPr>
        <w:pStyle w:val="ListParagraph"/>
        <w:spacing w:line="240" w:lineRule="auto"/>
        <w:ind w:left="1440"/>
      </w:pPr>
      <w:r w:rsidRPr="00AF5B2E">
        <w:t xml:space="preserve">Relevant others are involved to widen the evidence base and ensure the complexities and relevancies of the region are reflected and </w:t>
      </w:r>
      <w:r w:rsidR="003768E8">
        <w:t>the evidence base is as strong as possible.</w:t>
      </w:r>
    </w:p>
    <w:p w14:paraId="5ECBA7CA" w14:textId="77777777" w:rsidR="003768E8" w:rsidRDefault="003768E8" w:rsidP="003768E8">
      <w:pPr>
        <w:pStyle w:val="ListParagraph"/>
        <w:spacing w:line="240" w:lineRule="auto"/>
      </w:pPr>
    </w:p>
    <w:p w14:paraId="58816DAB" w14:textId="790C5618" w:rsidR="003768E8" w:rsidRDefault="003768E8" w:rsidP="00356441">
      <w:pPr>
        <w:pStyle w:val="ListParagraph"/>
        <w:numPr>
          <w:ilvl w:val="0"/>
          <w:numId w:val="6"/>
        </w:numPr>
        <w:spacing w:line="240" w:lineRule="auto"/>
      </w:pPr>
      <w:r>
        <w:t>We try things out.</w:t>
      </w:r>
    </w:p>
    <w:p w14:paraId="0BDD3D2E" w14:textId="77777777" w:rsidR="003768E8" w:rsidRDefault="003768E8" w:rsidP="003768E8">
      <w:pPr>
        <w:pStyle w:val="ListParagraph"/>
        <w:spacing w:line="240" w:lineRule="auto"/>
      </w:pPr>
    </w:p>
    <w:p w14:paraId="6D6A8C32" w14:textId="3CAC7E63" w:rsidR="00356441" w:rsidRPr="00AF5B2E" w:rsidRDefault="00356441" w:rsidP="003768E8">
      <w:pPr>
        <w:pStyle w:val="ListParagraph"/>
        <w:spacing w:line="240" w:lineRule="auto"/>
        <w:ind w:left="1440"/>
      </w:pPr>
      <w:r w:rsidRPr="00AF5B2E">
        <w:t xml:space="preserve">Agile opportunities to explore, experiment and learn are considered at the earliest stage – for example in the development of </w:t>
      </w:r>
      <w:r w:rsidR="00872C87">
        <w:t xml:space="preserve">the embedding of </w:t>
      </w:r>
      <w:r w:rsidRPr="00AF5B2E">
        <w:t>red teaming.</w:t>
      </w:r>
      <w:r w:rsidR="00AF5B2E">
        <w:t xml:space="preserve"> Where experiments are identified as worthy of trial, resourcing options and costs can be considered on a case by case basis. </w:t>
      </w:r>
    </w:p>
    <w:p w14:paraId="05F883A9" w14:textId="77777777" w:rsidR="003768E8" w:rsidRDefault="003768E8" w:rsidP="003768E8">
      <w:pPr>
        <w:pStyle w:val="ListParagraph"/>
        <w:spacing w:line="240" w:lineRule="auto"/>
      </w:pPr>
    </w:p>
    <w:p w14:paraId="537AF146" w14:textId="694FC04A" w:rsidR="003768E8" w:rsidRDefault="003768E8" w:rsidP="00356441">
      <w:pPr>
        <w:pStyle w:val="ListParagraph"/>
        <w:numPr>
          <w:ilvl w:val="0"/>
          <w:numId w:val="6"/>
        </w:numPr>
        <w:spacing w:line="240" w:lineRule="auto"/>
      </w:pPr>
      <w:r>
        <w:t>We bring in sustainable funding.</w:t>
      </w:r>
    </w:p>
    <w:p w14:paraId="0937AE00" w14:textId="77777777" w:rsidR="003768E8" w:rsidRDefault="003768E8" w:rsidP="003768E8">
      <w:pPr>
        <w:pStyle w:val="ListParagraph"/>
        <w:spacing w:line="240" w:lineRule="auto"/>
      </w:pPr>
    </w:p>
    <w:p w14:paraId="6EC150D4" w14:textId="5053A5D4" w:rsidR="00356441" w:rsidRPr="00AF5B2E" w:rsidRDefault="00356441" w:rsidP="003768E8">
      <w:pPr>
        <w:pStyle w:val="ListParagraph"/>
        <w:spacing w:line="240" w:lineRule="auto"/>
        <w:ind w:left="1440"/>
      </w:pPr>
      <w:r w:rsidRPr="00AF5B2E">
        <w:t xml:space="preserve">A bid writing team is formed to attract new research investment into the region, for which EMPAC as a collaboration operates as a bidding partner alongside DMU (as bid leader), integrating other relevant centres of excellence that could strengthen our </w:t>
      </w:r>
      <w:r w:rsidR="0082264A">
        <w:t xml:space="preserve">breadth </w:t>
      </w:r>
      <w:r w:rsidRPr="00AF5B2E">
        <w:t xml:space="preserve">and depth of knowledge.  </w:t>
      </w:r>
    </w:p>
    <w:p w14:paraId="0046478A" w14:textId="77777777" w:rsidR="00356441" w:rsidRPr="00AF5B2E" w:rsidRDefault="00356441" w:rsidP="003E102B">
      <w:pPr>
        <w:spacing w:line="240" w:lineRule="auto"/>
      </w:pPr>
    </w:p>
    <w:p w14:paraId="57978524" w14:textId="6ADBACC3" w:rsidR="00D7191C" w:rsidRDefault="00D7191C">
      <w:pPr>
        <w:rPr>
          <w:sz w:val="20"/>
          <w:szCs w:val="20"/>
        </w:rPr>
      </w:pPr>
    </w:p>
    <w:sectPr w:rsidR="00D7191C" w:rsidSect="00D07BD4">
      <w:footerReference w:type="default" r:id="rId9"/>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F012AE" w14:textId="77777777" w:rsidR="00406EFE" w:rsidRDefault="00406EFE" w:rsidP="00D7191C">
      <w:pPr>
        <w:spacing w:after="0" w:line="240" w:lineRule="auto"/>
      </w:pPr>
      <w:r>
        <w:separator/>
      </w:r>
    </w:p>
  </w:endnote>
  <w:endnote w:type="continuationSeparator" w:id="0">
    <w:p w14:paraId="52D82BFF" w14:textId="77777777" w:rsidR="00406EFE" w:rsidRDefault="00406EFE" w:rsidP="00D719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97828426"/>
      <w:docPartObj>
        <w:docPartGallery w:val="Page Numbers (Bottom of Page)"/>
        <w:docPartUnique/>
      </w:docPartObj>
    </w:sdtPr>
    <w:sdtEndPr>
      <w:rPr>
        <w:color w:val="7F7F7F" w:themeColor="background1" w:themeShade="7F"/>
        <w:spacing w:val="60"/>
      </w:rPr>
    </w:sdtEndPr>
    <w:sdtContent>
      <w:p w14:paraId="611CEAE0" w14:textId="0E635BFB" w:rsidR="00356441" w:rsidRDefault="00356441">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6C7A1AE9" w14:textId="77777777" w:rsidR="00356441" w:rsidRDefault="003564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ED99AA" w14:textId="77777777" w:rsidR="00406EFE" w:rsidRDefault="00406EFE" w:rsidP="00D7191C">
      <w:pPr>
        <w:spacing w:after="0" w:line="240" w:lineRule="auto"/>
      </w:pPr>
      <w:r>
        <w:separator/>
      </w:r>
    </w:p>
  </w:footnote>
  <w:footnote w:type="continuationSeparator" w:id="0">
    <w:p w14:paraId="10E3B03D" w14:textId="77777777" w:rsidR="00406EFE" w:rsidRDefault="00406EFE" w:rsidP="00D7191C">
      <w:pPr>
        <w:spacing w:after="0" w:line="240" w:lineRule="auto"/>
      </w:pPr>
      <w:r>
        <w:continuationSeparator/>
      </w:r>
    </w:p>
  </w:footnote>
  <w:footnote w:id="1">
    <w:p w14:paraId="1B8DA758" w14:textId="456DE201" w:rsidR="00356441" w:rsidRPr="00D7191C" w:rsidRDefault="00356441">
      <w:pPr>
        <w:pStyle w:val="FootnoteText"/>
        <w:rPr>
          <w:i/>
          <w:iCs/>
        </w:rPr>
      </w:pPr>
      <w:r>
        <w:rPr>
          <w:rStyle w:val="FootnoteReference"/>
        </w:rPr>
        <w:footnoteRef/>
      </w:r>
      <w:r>
        <w:t xml:space="preserve"> UK </w:t>
      </w:r>
      <w:r w:rsidRPr="00D7191C">
        <w:rPr>
          <w:i/>
          <w:iCs/>
        </w:rPr>
        <w:t>National Strategy on Serious Organised Crime, 2018-2021</w:t>
      </w:r>
    </w:p>
  </w:footnote>
  <w:footnote w:id="2">
    <w:p w14:paraId="48C34DDD" w14:textId="10801C48" w:rsidR="00356441" w:rsidRPr="00A1048B" w:rsidRDefault="00356441">
      <w:pPr>
        <w:pStyle w:val="FootnoteText"/>
        <w:rPr>
          <w:i/>
          <w:iCs/>
        </w:rPr>
      </w:pPr>
      <w:r>
        <w:rPr>
          <w:rStyle w:val="FootnoteReference"/>
        </w:rPr>
        <w:footnoteRef/>
      </w:r>
      <w:r>
        <w:t xml:space="preserve"> </w:t>
      </w:r>
      <w:r w:rsidRPr="00A1048B">
        <w:rPr>
          <w:i/>
          <w:iCs/>
        </w:rPr>
        <w:t>East Midlands Police Academic Collaboration (EMPAC) comprises Derbyshire Constabulary, Leicestershire Police, Lincolnshire Police, Northamptonshire Police, Nottinghamshire Police, the five respective Police and Crime Commissioners, the East Midlands Special Operations Unit and the Universities of Derby, De Montfort, Leicester, Loughborough, Lincoln, Nottingham, Nottingham Trent and Northampton.</w:t>
      </w:r>
    </w:p>
  </w:footnote>
  <w:footnote w:id="3">
    <w:p w14:paraId="6F7DC189" w14:textId="6C2F8F88" w:rsidR="00356441" w:rsidRDefault="00356441">
      <w:pPr>
        <w:pStyle w:val="FootnoteText"/>
      </w:pPr>
      <w:r>
        <w:rPr>
          <w:rStyle w:val="FootnoteReference"/>
        </w:rPr>
        <w:footnoteRef/>
      </w:r>
      <w:r>
        <w:t xml:space="preserve"> </w:t>
      </w:r>
      <w:r w:rsidRPr="00AF5B2E">
        <w:rPr>
          <w:i/>
          <w:iCs/>
        </w:rPr>
        <w:t>Red teaming</w:t>
      </w:r>
      <w:r>
        <w:t xml:space="preserve"> </w:t>
      </w:r>
      <w:r w:rsidR="00AF5B2E">
        <w:t xml:space="preserve">has a substantial evidence base from its use in </w:t>
      </w:r>
      <w:r>
        <w:t>military, Intelligence and business communities</w:t>
      </w:r>
      <w:r w:rsidR="00AF5B2E">
        <w:t xml:space="preserve">. It encourages </w:t>
      </w:r>
      <w:r w:rsidR="0082264A">
        <w:t xml:space="preserve">one </w:t>
      </w:r>
      <w:r>
        <w:t>to ‘think like the enemy’</w:t>
      </w:r>
      <w:r w:rsidR="00AF5B2E">
        <w:t>, to identify potential internal and external weaknesses proactively</w:t>
      </w:r>
      <w:r w:rsidR="0082264A">
        <w:t xml:space="preserve"> and</w:t>
      </w:r>
      <w:r w:rsidR="00AF5B2E">
        <w:t xml:space="preserve"> improve </w:t>
      </w:r>
      <w:r w:rsidR="0082264A">
        <w:t xml:space="preserve">the subsequent </w:t>
      </w:r>
      <w:r w:rsidR="00AF5B2E">
        <w:t xml:space="preserve">anticipation and disruption of the enemy.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5664AD"/>
    <w:multiLevelType w:val="hybridMultilevel"/>
    <w:tmpl w:val="B74C680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881222"/>
    <w:multiLevelType w:val="hybridMultilevel"/>
    <w:tmpl w:val="5B14AA9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1AA206B"/>
    <w:multiLevelType w:val="hybridMultilevel"/>
    <w:tmpl w:val="D420891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5A029A8"/>
    <w:multiLevelType w:val="hybridMultilevel"/>
    <w:tmpl w:val="79A2C93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8D237F9"/>
    <w:multiLevelType w:val="hybridMultilevel"/>
    <w:tmpl w:val="8DB620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C89258D"/>
    <w:multiLevelType w:val="hybridMultilevel"/>
    <w:tmpl w:val="04D4AE6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D65"/>
    <w:rsid w:val="000959EB"/>
    <w:rsid w:val="000E2557"/>
    <w:rsid w:val="00124B71"/>
    <w:rsid w:val="0014021F"/>
    <w:rsid w:val="00147FD6"/>
    <w:rsid w:val="00156743"/>
    <w:rsid w:val="001E59FA"/>
    <w:rsid w:val="002D22F3"/>
    <w:rsid w:val="002E4512"/>
    <w:rsid w:val="00356441"/>
    <w:rsid w:val="003768E8"/>
    <w:rsid w:val="003E102B"/>
    <w:rsid w:val="00406EFE"/>
    <w:rsid w:val="004334AF"/>
    <w:rsid w:val="00512B57"/>
    <w:rsid w:val="00556AA2"/>
    <w:rsid w:val="00564579"/>
    <w:rsid w:val="0059154A"/>
    <w:rsid w:val="005A5715"/>
    <w:rsid w:val="005C6848"/>
    <w:rsid w:val="005D3F3A"/>
    <w:rsid w:val="00622F73"/>
    <w:rsid w:val="008021C6"/>
    <w:rsid w:val="0082264A"/>
    <w:rsid w:val="00835F53"/>
    <w:rsid w:val="00872C87"/>
    <w:rsid w:val="00884D65"/>
    <w:rsid w:val="00903282"/>
    <w:rsid w:val="00955AF3"/>
    <w:rsid w:val="009A2AF4"/>
    <w:rsid w:val="00A1048B"/>
    <w:rsid w:val="00AC30BB"/>
    <w:rsid w:val="00AF5B2E"/>
    <w:rsid w:val="00BA40E4"/>
    <w:rsid w:val="00BB12B1"/>
    <w:rsid w:val="00C10709"/>
    <w:rsid w:val="00C94BC0"/>
    <w:rsid w:val="00D07BD4"/>
    <w:rsid w:val="00D154C2"/>
    <w:rsid w:val="00D7191C"/>
    <w:rsid w:val="00E14153"/>
    <w:rsid w:val="00E15BD7"/>
    <w:rsid w:val="00F173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B6D5C2"/>
  <w15:chartTrackingRefBased/>
  <w15:docId w15:val="{F1F0F1D8-41B9-4746-A19E-96483F99B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7191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7191C"/>
    <w:rPr>
      <w:sz w:val="20"/>
      <w:szCs w:val="20"/>
    </w:rPr>
  </w:style>
  <w:style w:type="character" w:styleId="FootnoteReference">
    <w:name w:val="footnote reference"/>
    <w:basedOn w:val="DefaultParagraphFont"/>
    <w:uiPriority w:val="99"/>
    <w:semiHidden/>
    <w:unhideWhenUsed/>
    <w:rsid w:val="00D7191C"/>
    <w:rPr>
      <w:vertAlign w:val="superscript"/>
    </w:rPr>
  </w:style>
  <w:style w:type="paragraph" w:styleId="ListParagraph">
    <w:name w:val="List Paragraph"/>
    <w:basedOn w:val="Normal"/>
    <w:uiPriority w:val="34"/>
    <w:qFormat/>
    <w:rsid w:val="005D3F3A"/>
    <w:pPr>
      <w:ind w:left="720"/>
      <w:contextualSpacing/>
    </w:pPr>
  </w:style>
  <w:style w:type="table" w:styleId="TableGrid">
    <w:name w:val="Table Grid"/>
    <w:basedOn w:val="TableNormal"/>
    <w:uiPriority w:val="39"/>
    <w:rsid w:val="009A2A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07B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7BD4"/>
  </w:style>
  <w:style w:type="paragraph" w:styleId="Footer">
    <w:name w:val="footer"/>
    <w:basedOn w:val="Normal"/>
    <w:link w:val="FooterChar"/>
    <w:uiPriority w:val="99"/>
    <w:unhideWhenUsed/>
    <w:rsid w:val="00D07B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7BD4"/>
  </w:style>
  <w:style w:type="paragraph" w:styleId="BalloonText">
    <w:name w:val="Balloon Text"/>
    <w:basedOn w:val="Normal"/>
    <w:link w:val="BalloonTextChar"/>
    <w:uiPriority w:val="99"/>
    <w:semiHidden/>
    <w:unhideWhenUsed/>
    <w:rsid w:val="00872C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C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4C93B8-6C72-4DED-9179-F47D513DA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1197</Words>
  <Characters>6827</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John</cp:lastModifiedBy>
  <cp:revision>2</cp:revision>
  <dcterms:created xsi:type="dcterms:W3CDTF">2020-10-15T07:47:00Z</dcterms:created>
  <dcterms:modified xsi:type="dcterms:W3CDTF">2020-10-15T07:47:00Z</dcterms:modified>
</cp:coreProperties>
</file>