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BF86" w14:textId="6E8F88B8" w:rsidR="00B72B89" w:rsidRPr="00B9572E" w:rsidRDefault="00B72B89" w:rsidP="00436BD3">
      <w:pPr>
        <w:jc w:val="center"/>
        <w:rPr>
          <w:b/>
          <w:i/>
          <w:color w:val="5B9BD5" w:themeColor="accent1"/>
          <w:sz w:val="28"/>
          <w:szCs w:val="28"/>
        </w:rPr>
      </w:pPr>
      <w:bookmarkStart w:id="0" w:name="_GoBack"/>
      <w:bookmarkEnd w:id="0"/>
      <w:r w:rsidRPr="00B9572E">
        <w:rPr>
          <w:b/>
          <w:i/>
          <w:color w:val="5B9BD5" w:themeColor="accent1"/>
          <w:sz w:val="24"/>
          <w:szCs w:val="24"/>
        </w:rPr>
        <w:t>Violence Information Reduction Network</w:t>
      </w:r>
      <w:r w:rsidR="00F90128" w:rsidRPr="00B9572E">
        <w:rPr>
          <w:b/>
          <w:i/>
          <w:color w:val="5B9BD5" w:themeColor="accent1"/>
          <w:sz w:val="24"/>
          <w:szCs w:val="24"/>
        </w:rPr>
        <w:t xml:space="preserve"> (VRIN)</w:t>
      </w:r>
      <w:r w:rsidRPr="00B9572E">
        <w:rPr>
          <w:b/>
          <w:i/>
          <w:color w:val="5B9BD5" w:themeColor="accent1"/>
          <w:sz w:val="24"/>
          <w:szCs w:val="24"/>
        </w:rPr>
        <w:t xml:space="preserve">: </w:t>
      </w:r>
      <w:r w:rsidR="00FE59D0">
        <w:rPr>
          <w:b/>
          <w:i/>
          <w:color w:val="5B9BD5" w:themeColor="accent1"/>
          <w:sz w:val="24"/>
          <w:szCs w:val="24"/>
        </w:rPr>
        <w:t>Discussion</w:t>
      </w:r>
      <w:r w:rsidRPr="00B9572E">
        <w:rPr>
          <w:b/>
          <w:i/>
          <w:color w:val="5B9BD5" w:themeColor="accent1"/>
          <w:sz w:val="24"/>
          <w:szCs w:val="24"/>
        </w:rPr>
        <w:t xml:space="preserve"> Paper 1</w:t>
      </w:r>
    </w:p>
    <w:p w14:paraId="34D32B75" w14:textId="25EB77C5" w:rsidR="00B72B89" w:rsidRPr="00EF6344" w:rsidRDefault="00B83D2D" w:rsidP="00B86ED1">
      <w:pPr>
        <w:jc w:val="center"/>
        <w:rPr>
          <w:b/>
          <w:color w:val="2E74B5" w:themeColor="accent1" w:themeShade="BF"/>
          <w:sz w:val="28"/>
          <w:szCs w:val="28"/>
        </w:rPr>
      </w:pPr>
      <w:r w:rsidRPr="00EF6344">
        <w:rPr>
          <w:b/>
          <w:color w:val="2E74B5" w:themeColor="accent1" w:themeShade="BF"/>
          <w:sz w:val="28"/>
          <w:szCs w:val="28"/>
        </w:rPr>
        <w:t xml:space="preserve">Reducing </w:t>
      </w:r>
      <w:r w:rsidR="00ED0F41" w:rsidRPr="00EF6344">
        <w:rPr>
          <w:b/>
          <w:color w:val="2E74B5" w:themeColor="accent1" w:themeShade="BF"/>
          <w:sz w:val="28"/>
          <w:szCs w:val="28"/>
        </w:rPr>
        <w:t xml:space="preserve">Public Space </w:t>
      </w:r>
      <w:r w:rsidRPr="00EF6344">
        <w:rPr>
          <w:b/>
          <w:color w:val="2E74B5" w:themeColor="accent1" w:themeShade="BF"/>
          <w:sz w:val="28"/>
          <w:szCs w:val="28"/>
        </w:rPr>
        <w:t xml:space="preserve">Violence </w:t>
      </w:r>
      <w:r w:rsidR="00BC5831" w:rsidRPr="00EF6344">
        <w:rPr>
          <w:b/>
          <w:color w:val="2E74B5" w:themeColor="accent1" w:themeShade="BF"/>
          <w:sz w:val="28"/>
          <w:szCs w:val="28"/>
        </w:rPr>
        <w:t>across</w:t>
      </w:r>
      <w:r w:rsidRPr="00EF6344">
        <w:rPr>
          <w:b/>
          <w:color w:val="2E74B5" w:themeColor="accent1" w:themeShade="BF"/>
          <w:sz w:val="28"/>
          <w:szCs w:val="28"/>
        </w:rPr>
        <w:t xml:space="preserve"> the East Midlands: Mapping the </w:t>
      </w:r>
      <w:r w:rsidR="0091710A">
        <w:rPr>
          <w:b/>
          <w:color w:val="2E74B5" w:themeColor="accent1" w:themeShade="BF"/>
          <w:sz w:val="28"/>
          <w:szCs w:val="28"/>
        </w:rPr>
        <w:t>I</w:t>
      </w:r>
      <w:r w:rsidRPr="00EF6344">
        <w:rPr>
          <w:b/>
          <w:color w:val="2E74B5" w:themeColor="accent1" w:themeShade="BF"/>
          <w:sz w:val="28"/>
          <w:szCs w:val="28"/>
        </w:rPr>
        <w:t>nterventions</w:t>
      </w:r>
    </w:p>
    <w:p w14:paraId="63505C45" w14:textId="058F8E51" w:rsidR="004C2E9B" w:rsidRPr="00FE59D0" w:rsidRDefault="006C7332" w:rsidP="00B86ED1">
      <w:pPr>
        <w:jc w:val="center"/>
        <w:rPr>
          <w:b/>
          <w:i/>
          <w:sz w:val="24"/>
          <w:szCs w:val="24"/>
        </w:rPr>
      </w:pPr>
      <w:r>
        <w:rPr>
          <w:b/>
          <w:sz w:val="24"/>
          <w:szCs w:val="24"/>
        </w:rPr>
        <w:t xml:space="preserve">  </w:t>
      </w:r>
      <w:r w:rsidR="00FE59D0" w:rsidRPr="00FE59D0">
        <w:rPr>
          <w:b/>
          <w:i/>
          <w:sz w:val="24"/>
          <w:szCs w:val="24"/>
        </w:rPr>
        <w:t>Matt Hopkins, Keith Floyd and Claire Davis</w:t>
      </w:r>
      <w:r w:rsidR="00641F3B" w:rsidRPr="00FE59D0">
        <w:rPr>
          <w:b/>
          <w:i/>
          <w:sz w:val="24"/>
          <w:szCs w:val="24"/>
        </w:rPr>
        <w:t xml:space="preserve"> </w:t>
      </w:r>
    </w:p>
    <w:p w14:paraId="28811F1E" w14:textId="76698E3E" w:rsidR="004C2E9B" w:rsidRPr="00EF6344" w:rsidRDefault="00E41C57" w:rsidP="00E41C57">
      <w:pPr>
        <w:jc w:val="center"/>
        <w:rPr>
          <w:b/>
        </w:rPr>
        <w:sectPr w:rsidR="004C2E9B" w:rsidRPr="00EF6344" w:rsidSect="004C2E9B">
          <w:footerReference w:type="default" r:id="rId8"/>
          <w:pgSz w:w="11906" w:h="16838"/>
          <w:pgMar w:top="1440" w:right="1440" w:bottom="1440" w:left="1440" w:header="708" w:footer="708" w:gutter="0"/>
          <w:cols w:space="708"/>
          <w:docGrid w:linePitch="360"/>
        </w:sectPr>
      </w:pPr>
      <w:r>
        <w:rPr>
          <w:b/>
        </w:rPr>
        <w:t>Please visit</w:t>
      </w:r>
      <w:r w:rsidR="00EF6344" w:rsidRPr="00EF6344">
        <w:rPr>
          <w:b/>
        </w:rPr>
        <w:t xml:space="preserve"> the VRIN webpage at: </w:t>
      </w:r>
      <w:hyperlink r:id="rId9" w:history="1">
        <w:r w:rsidR="00EF6344" w:rsidRPr="00EF6344">
          <w:rPr>
            <w:rStyle w:val="Hyperlink"/>
            <w:b/>
          </w:rPr>
          <w:t>https://le.ac.uk/criminology/research/violence-reduction-information-network</w:t>
        </w:r>
      </w:hyperlink>
    </w:p>
    <w:p w14:paraId="6A6F9ED7" w14:textId="77777777" w:rsidR="00B83D2D" w:rsidRPr="00B72B89" w:rsidRDefault="00B72B89">
      <w:pPr>
        <w:rPr>
          <w:b/>
          <w:sz w:val="24"/>
          <w:szCs w:val="24"/>
        </w:rPr>
      </w:pPr>
      <w:r w:rsidRPr="00E41C57">
        <w:rPr>
          <w:b/>
          <w:color w:val="2E74B5" w:themeColor="accent1" w:themeShade="BF"/>
          <w:sz w:val="24"/>
          <w:szCs w:val="24"/>
        </w:rPr>
        <w:t>Introduction</w:t>
      </w:r>
      <w:r w:rsidR="00B83D2D" w:rsidRPr="00B72B89">
        <w:rPr>
          <w:b/>
          <w:sz w:val="24"/>
          <w:szCs w:val="24"/>
        </w:rPr>
        <w:t xml:space="preserve"> </w:t>
      </w:r>
    </w:p>
    <w:p w14:paraId="0A9AFFD5" w14:textId="329B71F8" w:rsidR="00B83D2D" w:rsidRDefault="004C2E9B" w:rsidP="005542FA">
      <w:pPr>
        <w:jc w:val="both"/>
      </w:pPr>
      <w:r>
        <w:t xml:space="preserve">The purpose of this briefing paper is to gauge the response to the government’s flagship Serious Violence Strategy (HM Government, 2018) across the East Midlands region three years after its publication. </w:t>
      </w:r>
      <w:r w:rsidR="000760B9">
        <w:t xml:space="preserve">Despite </w:t>
      </w:r>
      <w:r w:rsidR="00014B0D">
        <w:t xml:space="preserve">the </w:t>
      </w:r>
      <w:r w:rsidR="000760B9">
        <w:t xml:space="preserve">long-term fall in public space violence, forms of violence that generate serious harms have remained </w:t>
      </w:r>
      <w:r w:rsidR="008057B3">
        <w:t>a</w:t>
      </w:r>
      <w:r w:rsidR="000760B9">
        <w:t xml:space="preserve"> focus of </w:t>
      </w:r>
      <w:r w:rsidR="000908DE">
        <w:t xml:space="preserve">policy </w:t>
      </w:r>
      <w:r w:rsidR="000760B9">
        <w:t>attention</w:t>
      </w:r>
      <w:r w:rsidR="00E46114">
        <w:t xml:space="preserve"> (Ganpat </w:t>
      </w:r>
      <w:r w:rsidR="00E46114" w:rsidRPr="006552E4">
        <w:rPr>
          <w:i/>
        </w:rPr>
        <w:t>et al</w:t>
      </w:r>
      <w:r w:rsidR="00592CEE">
        <w:rPr>
          <w:i/>
        </w:rPr>
        <w:t>.</w:t>
      </w:r>
      <w:r w:rsidR="00E46114">
        <w:t>, 2020)</w:t>
      </w:r>
      <w:r w:rsidR="000760B9">
        <w:t xml:space="preserve">. </w:t>
      </w:r>
      <w:r w:rsidR="000908DE">
        <w:t xml:space="preserve"> </w:t>
      </w:r>
      <w:r w:rsidR="00B83D2D">
        <w:t>The Serious Violence Strategy (HM Government, 2018)</w:t>
      </w:r>
      <w:r w:rsidR="000760B9">
        <w:t xml:space="preserve"> notes that as crime continues to </w:t>
      </w:r>
      <w:r w:rsidR="006552E4">
        <w:t>fall</w:t>
      </w:r>
      <w:r w:rsidR="002A5358">
        <w:t>,</w:t>
      </w:r>
      <w:r w:rsidR="006552E4">
        <w:t xml:space="preserve"> many forms of serious violence</w:t>
      </w:r>
      <w:r w:rsidR="000760B9">
        <w:t xml:space="preserve"> – homicide, knife crime, gun crime and robbery have risen since </w:t>
      </w:r>
      <w:r w:rsidR="009004CD">
        <w:t>2014.</w:t>
      </w:r>
      <w:r w:rsidR="000760B9">
        <w:t xml:space="preserve"> </w:t>
      </w:r>
      <w:r w:rsidR="00B83D2D">
        <w:t xml:space="preserve"> </w:t>
      </w:r>
      <w:r w:rsidR="008057B3">
        <w:t>The S</w:t>
      </w:r>
      <w:r w:rsidR="009004CD">
        <w:t>trategy set</w:t>
      </w:r>
      <w:r w:rsidR="008057B3">
        <w:t>s</w:t>
      </w:r>
      <w:r w:rsidR="009004CD">
        <w:t xml:space="preserve"> out the drivers for these forms of violence (such as drugs/profit, individual propensity </w:t>
      </w:r>
      <w:r w:rsidR="008057B3">
        <w:t>to offend, alcohol and opportunity</w:t>
      </w:r>
      <w:r w:rsidR="009004CD">
        <w:t>) and individual risk facto</w:t>
      </w:r>
      <w:r w:rsidR="008057B3">
        <w:t>r</w:t>
      </w:r>
      <w:r w:rsidR="009004CD">
        <w:t>s (individual, family, school, community and peer group)</w:t>
      </w:r>
      <w:r w:rsidR="008057B3">
        <w:t>. Against this, not only are potential areas of intervention outline</w:t>
      </w:r>
      <w:r w:rsidR="00477FBB">
        <w:t>d (such as early interventions</w:t>
      </w:r>
      <w:r w:rsidR="008057B3">
        <w:t>, community responses and law enforcement</w:t>
      </w:r>
      <w:r w:rsidR="0073588D">
        <w:t>)</w:t>
      </w:r>
      <w:r w:rsidR="008057B3">
        <w:t xml:space="preserve">, but </w:t>
      </w:r>
      <w:r w:rsidR="000908DE">
        <w:t>significant</w:t>
      </w:r>
      <w:r w:rsidR="00592CEE">
        <w:t>ly</w:t>
      </w:r>
      <w:r w:rsidR="000908DE">
        <w:t xml:space="preserve"> </w:t>
      </w:r>
      <w:r w:rsidR="00592CEE">
        <w:t xml:space="preserve">an opportunity is presented to </w:t>
      </w:r>
      <w:r w:rsidR="000908DE">
        <w:t>rethink ab</w:t>
      </w:r>
      <w:r w:rsidR="002A5358">
        <w:t xml:space="preserve">out how violence is tackled. This </w:t>
      </w:r>
      <w:r w:rsidR="00C705A5">
        <w:t>emphasises the</w:t>
      </w:r>
      <w:r w:rsidR="00B83D2D">
        <w:t xml:space="preserve"> need for </w:t>
      </w:r>
      <w:r w:rsidR="00477FBB">
        <w:t>further</w:t>
      </w:r>
      <w:r w:rsidR="002A5358">
        <w:t xml:space="preserve"> partnership working </w:t>
      </w:r>
      <w:r w:rsidR="00B83D2D">
        <w:t xml:space="preserve">and public health </w:t>
      </w:r>
      <w:r w:rsidR="005542FA">
        <w:t>approaches to tackle violence</w:t>
      </w:r>
      <w:r w:rsidR="001D33B8">
        <w:rPr>
          <w:i/>
        </w:rPr>
        <w:t xml:space="preserve"> </w:t>
      </w:r>
      <w:r w:rsidR="00B83D2D">
        <w:t>(HM Government, 2018</w:t>
      </w:r>
      <w:r w:rsidR="00592CEE">
        <w:t>, p.</w:t>
      </w:r>
      <w:r w:rsidR="00B83D2D">
        <w:t xml:space="preserve"> 9)</w:t>
      </w:r>
      <w:r w:rsidR="005542FA">
        <w:t>.</w:t>
      </w:r>
    </w:p>
    <w:p w14:paraId="1F9DBFC6" w14:textId="4F056DA1" w:rsidR="00B83D2D" w:rsidRDefault="008057B3" w:rsidP="00354681">
      <w:pPr>
        <w:spacing w:after="0" w:line="240" w:lineRule="auto"/>
        <w:jc w:val="both"/>
        <w:rPr>
          <w:rFonts w:cstheme="minorHAnsi"/>
          <w:color w:val="000000"/>
        </w:rPr>
      </w:pPr>
      <w:r>
        <w:t xml:space="preserve">The Serious Violence Strategy was backed by a commitment to </w:t>
      </w:r>
      <w:r w:rsidR="00F01D2C">
        <w:t>fund</w:t>
      </w:r>
      <w:r w:rsidR="00771359">
        <w:t xml:space="preserve"> interventions </w:t>
      </w:r>
      <w:r w:rsidR="00F01D2C">
        <w:t xml:space="preserve">and </w:t>
      </w:r>
      <w:r>
        <w:t>partnerships</w:t>
      </w:r>
      <w:r w:rsidR="00641F3B">
        <w:t xml:space="preserve">. The </w:t>
      </w:r>
      <w:r w:rsidR="00B83D2D">
        <w:t xml:space="preserve">Serious Violence Fund paved the way for the development of Violence Reduction Units (VRUs) in the 18 police areas worst affected by violence.  The expectation was that the VRUs would tackle ‘the root causes’ of </w:t>
      </w:r>
      <w:r w:rsidR="00477FBB">
        <w:t xml:space="preserve">serious </w:t>
      </w:r>
      <w:r w:rsidR="00B83D2D">
        <w:t xml:space="preserve">violence through inter-agency working and public health focused interventions. While the funding for VRUs was </w:t>
      </w:r>
      <w:r w:rsidR="00B83D2D">
        <w:t xml:space="preserve">no doubt welcomed across the 18 VRU areas, so was the desire to treat violence as a public health issue. As </w:t>
      </w:r>
      <w:r w:rsidR="00B83D2D">
        <w:rPr>
          <w:rFonts w:cstheme="minorHAnsi"/>
          <w:color w:val="000000"/>
        </w:rPr>
        <w:t>Grimshaw &amp; Ford (2018</w:t>
      </w:r>
      <w:r w:rsidR="00592CEE">
        <w:rPr>
          <w:rFonts w:cstheme="minorHAnsi"/>
          <w:color w:val="000000"/>
        </w:rPr>
        <w:t xml:space="preserve">, p. </w:t>
      </w:r>
      <w:r w:rsidR="00B83D2D">
        <w:rPr>
          <w:rFonts w:cstheme="minorHAnsi"/>
          <w:color w:val="000000"/>
        </w:rPr>
        <w:t xml:space="preserve">15) identify, the risk factors for violence are </w:t>
      </w:r>
      <w:r w:rsidR="00592CEE">
        <w:rPr>
          <w:rFonts w:cstheme="minorHAnsi"/>
          <w:color w:val="000000"/>
        </w:rPr>
        <w:t>“</w:t>
      </w:r>
      <w:r w:rsidR="00B83D2D">
        <w:rPr>
          <w:rFonts w:cstheme="minorHAnsi"/>
          <w:color w:val="000000"/>
        </w:rPr>
        <w:t>cross-cutting</w:t>
      </w:r>
      <w:r w:rsidR="00592CEE">
        <w:rPr>
          <w:rFonts w:cstheme="minorHAnsi"/>
          <w:color w:val="000000"/>
        </w:rPr>
        <w:t>”</w:t>
      </w:r>
      <w:r w:rsidR="00B83D2D">
        <w:rPr>
          <w:rFonts w:cstheme="minorHAnsi"/>
          <w:color w:val="000000"/>
        </w:rPr>
        <w:t xml:space="preserve"> and </w:t>
      </w:r>
      <w:r w:rsidR="00592CEE">
        <w:rPr>
          <w:rFonts w:cstheme="minorHAnsi"/>
          <w:color w:val="000000"/>
        </w:rPr>
        <w:t>“</w:t>
      </w:r>
      <w:r w:rsidR="00B83D2D">
        <w:rPr>
          <w:rFonts w:cstheme="minorHAnsi"/>
          <w:color w:val="000000"/>
        </w:rPr>
        <w:t>any comprehensive approach to violence reduction</w:t>
      </w:r>
      <w:r w:rsidR="00592CEE">
        <w:rPr>
          <w:rFonts w:cstheme="minorHAnsi"/>
          <w:color w:val="000000"/>
        </w:rPr>
        <w:t>”</w:t>
      </w:r>
      <w:r w:rsidR="00B83D2D">
        <w:rPr>
          <w:rFonts w:cstheme="minorHAnsi"/>
          <w:color w:val="000000"/>
        </w:rPr>
        <w:t xml:space="preserve"> needs to address a variety of individual, relationship, community and societal factors. </w:t>
      </w:r>
    </w:p>
    <w:p w14:paraId="3F77EC33" w14:textId="77777777" w:rsidR="005542FA" w:rsidRDefault="005542FA" w:rsidP="00354681">
      <w:pPr>
        <w:spacing w:after="0"/>
      </w:pPr>
    </w:p>
    <w:p w14:paraId="0415FCFF" w14:textId="59E2CC60" w:rsidR="00354681" w:rsidRDefault="004C2E9B" w:rsidP="00541EEE">
      <w:pPr>
        <w:jc w:val="both"/>
      </w:pPr>
      <w:r>
        <w:t xml:space="preserve">The data presented in this paper were collected from each of the five </w:t>
      </w:r>
      <w:r w:rsidR="006C6AC7">
        <w:t>police force areas</w:t>
      </w:r>
      <w:r>
        <w:t xml:space="preserve"> across the East Midlands</w:t>
      </w:r>
      <w:r w:rsidR="006C6AC7">
        <w:t xml:space="preserve"> – Derbyshire, Leicestershire, Lincolnshire, Northampton</w:t>
      </w:r>
      <w:r w:rsidR="00477FBB">
        <w:t>shire and Nottinghamshire -</w:t>
      </w:r>
      <w:r>
        <w:t xml:space="preserve"> of which two (Leicestershire and Nottinghamshire) are VRU</w:t>
      </w:r>
      <w:r w:rsidR="0073588D">
        <w:t xml:space="preserve"> funded</w:t>
      </w:r>
      <w:r>
        <w:t xml:space="preserve"> areas. Requests </w:t>
      </w:r>
      <w:r w:rsidR="00F01D2C">
        <w:t xml:space="preserve">for data </w:t>
      </w:r>
      <w:r>
        <w:t>were made</w:t>
      </w:r>
      <w:r w:rsidR="00F01D2C">
        <w:t xml:space="preserve"> </w:t>
      </w:r>
      <w:r>
        <w:t xml:space="preserve">in late 2020 </w:t>
      </w:r>
      <w:r w:rsidR="00477FBB">
        <w:t>to</w:t>
      </w:r>
      <w:r w:rsidR="008B41EB">
        <w:t xml:space="preserve"> individuals</w:t>
      </w:r>
      <w:r>
        <w:t xml:space="preserve"> in each area</w:t>
      </w:r>
      <w:r w:rsidR="008B41EB">
        <w:t xml:space="preserve"> with overall responsibility for overseeing violence reduction interventions.   In the following pages, </w:t>
      </w:r>
      <w:r w:rsidR="005542FA">
        <w:t>analysis is presented relating to:</w:t>
      </w:r>
      <w:r w:rsidR="00541EEE">
        <w:t xml:space="preserve">   </w:t>
      </w:r>
    </w:p>
    <w:p w14:paraId="5110C179" w14:textId="0B7CE4A0" w:rsidR="000908DE" w:rsidRDefault="005542FA" w:rsidP="004C2E9B">
      <w:pPr>
        <w:pStyle w:val="ListParagraph"/>
        <w:numPr>
          <w:ilvl w:val="0"/>
          <w:numId w:val="1"/>
        </w:numPr>
        <w:jc w:val="both"/>
      </w:pPr>
      <w:r>
        <w:t xml:space="preserve">The types of interventions being implemented; </w:t>
      </w:r>
    </w:p>
    <w:p w14:paraId="0ADB1D25" w14:textId="7383345E" w:rsidR="000D175E" w:rsidRDefault="005542FA" w:rsidP="004C2E9B">
      <w:pPr>
        <w:pStyle w:val="ListParagraph"/>
        <w:numPr>
          <w:ilvl w:val="0"/>
          <w:numId w:val="1"/>
        </w:numPr>
        <w:jc w:val="both"/>
      </w:pPr>
      <w:r>
        <w:t>Theory of change and ‘how’ interventions are intended to work;</w:t>
      </w:r>
    </w:p>
    <w:p w14:paraId="12F9D449" w14:textId="7535FE72" w:rsidR="000D175E" w:rsidRDefault="005542FA" w:rsidP="004C2E9B">
      <w:pPr>
        <w:pStyle w:val="ListParagraph"/>
        <w:numPr>
          <w:ilvl w:val="0"/>
          <w:numId w:val="1"/>
        </w:numPr>
        <w:jc w:val="both"/>
      </w:pPr>
      <w:r>
        <w:t xml:space="preserve">Evaluation and impact. </w:t>
      </w:r>
    </w:p>
    <w:p w14:paraId="5E3AE283" w14:textId="6AA18F46" w:rsidR="00B83D2D" w:rsidRPr="007C5697" w:rsidRDefault="00E41C57">
      <w:pPr>
        <w:rPr>
          <w:b/>
          <w:color w:val="2E74B5" w:themeColor="accent1" w:themeShade="BF"/>
          <w:sz w:val="24"/>
          <w:szCs w:val="24"/>
        </w:rPr>
      </w:pPr>
      <w:r>
        <w:rPr>
          <w:b/>
          <w:color w:val="2E74B5" w:themeColor="accent1" w:themeShade="BF"/>
          <w:sz w:val="24"/>
          <w:szCs w:val="24"/>
        </w:rPr>
        <w:t>T</w:t>
      </w:r>
      <w:r w:rsidR="00B83D2D" w:rsidRPr="007C5697">
        <w:rPr>
          <w:b/>
          <w:color w:val="2E74B5" w:themeColor="accent1" w:themeShade="BF"/>
          <w:sz w:val="24"/>
          <w:szCs w:val="24"/>
        </w:rPr>
        <w:t>ypes of interventions being implemente</w:t>
      </w:r>
      <w:r w:rsidR="001830D1" w:rsidRPr="007C5697">
        <w:rPr>
          <w:b/>
          <w:color w:val="2E74B5" w:themeColor="accent1" w:themeShade="BF"/>
          <w:sz w:val="24"/>
          <w:szCs w:val="24"/>
        </w:rPr>
        <w:t xml:space="preserve">d </w:t>
      </w:r>
    </w:p>
    <w:p w14:paraId="09B18021" w14:textId="28C6D12E" w:rsidR="00A76BBE" w:rsidRDefault="00B55C0E" w:rsidP="00A76BBE">
      <w:pPr>
        <w:jc w:val="both"/>
      </w:pPr>
      <w:r>
        <w:t xml:space="preserve">In total, </w:t>
      </w:r>
      <w:r w:rsidR="00592CEE">
        <w:t xml:space="preserve">the five forces selected </w:t>
      </w:r>
      <w:r>
        <w:t>47</w:t>
      </w:r>
      <w:r w:rsidR="00E3544F">
        <w:t xml:space="preserve"> </w:t>
      </w:r>
      <w:r w:rsidR="00E63453">
        <w:t xml:space="preserve">interventions </w:t>
      </w:r>
      <w:r w:rsidR="00592CEE">
        <w:t xml:space="preserve">which </w:t>
      </w:r>
      <w:r w:rsidR="00674684">
        <w:t>were aim</w:t>
      </w:r>
      <w:r w:rsidR="00592CEE">
        <w:t>ed</w:t>
      </w:r>
      <w:r w:rsidR="00674684">
        <w:t xml:space="preserve"> to</w:t>
      </w:r>
      <w:r w:rsidR="00104E73">
        <w:t xml:space="preserve"> impact on public space violence </w:t>
      </w:r>
      <w:r w:rsidR="00F90128">
        <w:t>across the region</w:t>
      </w:r>
      <w:r w:rsidR="001830D1">
        <w:t>. Table 1 presents an overview</w:t>
      </w:r>
      <w:r w:rsidR="00A76BBE">
        <w:t xml:space="preserve"> of the target group of the interventions, the key </w:t>
      </w:r>
      <w:r w:rsidR="00674684">
        <w:t>places of delivery</w:t>
      </w:r>
      <w:r w:rsidR="00A76BBE">
        <w:t xml:space="preserve"> and </w:t>
      </w:r>
      <w:r w:rsidR="00EF6344">
        <w:t>examples of the types of intervention</w:t>
      </w:r>
      <w:r w:rsidR="00A76BBE">
        <w:t xml:space="preserve">. The interventions are </w:t>
      </w:r>
      <w:r w:rsidR="00674684">
        <w:t xml:space="preserve">broadly </w:t>
      </w:r>
      <w:r w:rsidR="00A76BBE">
        <w:t xml:space="preserve">arranged into the target groups used </w:t>
      </w:r>
      <w:r w:rsidR="00477FBB">
        <w:t xml:space="preserve">by </w:t>
      </w:r>
      <w:r w:rsidR="00A76BBE">
        <w:t xml:space="preserve">MacLeod </w:t>
      </w:r>
      <w:r w:rsidR="00A76BBE" w:rsidRPr="002A5358">
        <w:rPr>
          <w:i/>
        </w:rPr>
        <w:t>et al</w:t>
      </w:r>
      <w:r w:rsidR="00592CEE">
        <w:rPr>
          <w:i/>
        </w:rPr>
        <w:t>.</w:t>
      </w:r>
      <w:r w:rsidR="00A76BBE">
        <w:t xml:space="preserve"> (2020) in </w:t>
      </w:r>
      <w:r w:rsidR="00A76BBE">
        <w:lastRenderedPageBreak/>
        <w:t>the Violence Reduction Unit Impact Evaluation Feasibility study</w:t>
      </w:r>
      <w:r w:rsidR="00477FBB">
        <w:t>, including</w:t>
      </w:r>
      <w:r w:rsidR="00A76BBE">
        <w:t>:</w:t>
      </w:r>
    </w:p>
    <w:p w14:paraId="47F8FF27" w14:textId="6E5394FE" w:rsidR="00E32A88" w:rsidRDefault="005542FA" w:rsidP="00E32A88">
      <w:pPr>
        <w:pStyle w:val="ListParagraph"/>
        <w:numPr>
          <w:ilvl w:val="0"/>
          <w:numId w:val="3"/>
        </w:numPr>
        <w:jc w:val="both"/>
      </w:pPr>
      <w:r>
        <w:t>People already know</w:t>
      </w:r>
      <w:r w:rsidR="00477FBB">
        <w:t>n</w:t>
      </w:r>
      <w:r>
        <w:t xml:space="preserve"> to be involved in crime/violence;</w:t>
      </w:r>
    </w:p>
    <w:p w14:paraId="2CC086D1" w14:textId="158E4D43" w:rsidR="00E32A88" w:rsidRDefault="005542FA" w:rsidP="00E32A88">
      <w:pPr>
        <w:pStyle w:val="ListParagraph"/>
        <w:numPr>
          <w:ilvl w:val="0"/>
          <w:numId w:val="3"/>
        </w:numPr>
        <w:jc w:val="both"/>
      </w:pPr>
      <w:r>
        <w:t>People who are a known risk or known to services;</w:t>
      </w:r>
    </w:p>
    <w:p w14:paraId="588482E0" w14:textId="23B7C2B9" w:rsidR="00E32A88" w:rsidRDefault="005542FA" w:rsidP="00E32A88">
      <w:pPr>
        <w:pStyle w:val="ListParagraph"/>
        <w:numPr>
          <w:ilvl w:val="0"/>
          <w:numId w:val="3"/>
        </w:numPr>
        <w:jc w:val="both"/>
      </w:pPr>
      <w:r>
        <w:t>People who are potentially high risk due to proximity to hotspot areas or people they associate with;</w:t>
      </w:r>
    </w:p>
    <w:p w14:paraId="221BF62A" w14:textId="0C8E2456" w:rsidR="00E32A88" w:rsidRDefault="005542FA" w:rsidP="00E32A88">
      <w:pPr>
        <w:pStyle w:val="ListParagraph"/>
        <w:numPr>
          <w:ilvl w:val="0"/>
          <w:numId w:val="3"/>
        </w:numPr>
        <w:jc w:val="both"/>
      </w:pPr>
      <w:r>
        <w:t>Those not know</w:t>
      </w:r>
      <w:r w:rsidR="00477FBB">
        <w:t>n</w:t>
      </w:r>
      <w:r>
        <w:t xml:space="preserve"> to be at risk but </w:t>
      </w:r>
      <w:r w:rsidR="002F7791">
        <w:t xml:space="preserve">who </w:t>
      </w:r>
      <w:r>
        <w:t>may live in an area with high level</w:t>
      </w:r>
      <w:r w:rsidR="00477FBB">
        <w:t>s</w:t>
      </w:r>
      <w:r>
        <w:t xml:space="preserve"> of crime or socio-economic deprivation</w:t>
      </w:r>
      <w:r w:rsidR="002F7791">
        <w:t>; and</w:t>
      </w:r>
      <w:r>
        <w:t xml:space="preserve"> </w:t>
      </w:r>
    </w:p>
    <w:p w14:paraId="563D00A9" w14:textId="2E43264D" w:rsidR="00541EEE" w:rsidRDefault="005542FA" w:rsidP="005542FA">
      <w:pPr>
        <w:pStyle w:val="ListParagraph"/>
        <w:numPr>
          <w:ilvl w:val="0"/>
          <w:numId w:val="3"/>
        </w:numPr>
        <w:jc w:val="both"/>
        <w:sectPr w:rsidR="00541EEE" w:rsidSect="00541EEE">
          <w:type w:val="continuous"/>
          <w:pgSz w:w="11906" w:h="16838"/>
          <w:pgMar w:top="1440" w:right="1440" w:bottom="1440" w:left="1440" w:header="708" w:footer="708" w:gutter="0"/>
          <w:cols w:num="2" w:space="708"/>
          <w:docGrid w:linePitch="360"/>
        </w:sectPr>
      </w:pPr>
      <w:r>
        <w:t xml:space="preserve">‘Others’ </w:t>
      </w:r>
      <w:r w:rsidR="002F7791">
        <w:t xml:space="preserve">which </w:t>
      </w:r>
      <w:r>
        <w:t>refer to interventio</w:t>
      </w:r>
      <w:r w:rsidR="00477FBB">
        <w:t>ns that do not directly involve</w:t>
      </w:r>
      <w:r>
        <w:t xml:space="preserve"> the four above groups. </w:t>
      </w:r>
    </w:p>
    <w:p w14:paraId="2D41C7D6" w14:textId="77777777" w:rsidR="00B9572E" w:rsidRDefault="00A76BBE" w:rsidP="005542FA">
      <w:pPr>
        <w:jc w:val="both"/>
      </w:pPr>
      <w:r>
        <w:t xml:space="preserve"> </w:t>
      </w:r>
      <w:r w:rsidR="001830D1">
        <w:t xml:space="preserve">  </w:t>
      </w:r>
    </w:p>
    <w:p w14:paraId="3E3E0712" w14:textId="4F9C268C" w:rsidR="001830D1" w:rsidRPr="005542FA" w:rsidRDefault="001830D1" w:rsidP="005542FA">
      <w:pPr>
        <w:jc w:val="both"/>
      </w:pPr>
      <w:r w:rsidRPr="001830D1">
        <w:rPr>
          <w:b/>
        </w:rPr>
        <w:t xml:space="preserve">Table 1: </w:t>
      </w:r>
      <w:r w:rsidR="00C37DA4">
        <w:rPr>
          <w:b/>
        </w:rPr>
        <w:t>Types of i</w:t>
      </w:r>
      <w:r w:rsidRPr="001830D1">
        <w:rPr>
          <w:b/>
        </w:rPr>
        <w:t xml:space="preserve">nterventions across the </w:t>
      </w:r>
      <w:r w:rsidR="00C37DA4">
        <w:rPr>
          <w:b/>
        </w:rPr>
        <w:t xml:space="preserve">East Midlands </w:t>
      </w:r>
      <w:r w:rsidRPr="001830D1">
        <w:rPr>
          <w:b/>
        </w:rPr>
        <w:t xml:space="preserve">VRIN area </w:t>
      </w:r>
    </w:p>
    <w:tbl>
      <w:tblPr>
        <w:tblStyle w:val="GridTable4-Accent6"/>
        <w:tblW w:w="9209" w:type="dxa"/>
        <w:tblLook w:val="04A0" w:firstRow="1" w:lastRow="0" w:firstColumn="1" w:lastColumn="0" w:noHBand="0" w:noVBand="1"/>
      </w:tblPr>
      <w:tblGrid>
        <w:gridCol w:w="1555"/>
        <w:gridCol w:w="2126"/>
        <w:gridCol w:w="5528"/>
      </w:tblGrid>
      <w:tr w:rsidR="00313F46" w14:paraId="003287DA" w14:textId="77777777" w:rsidTr="00556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C63C192" w14:textId="69EEA8C7" w:rsidR="00313F46" w:rsidRPr="003A0AC6" w:rsidRDefault="00313F46" w:rsidP="001830D1">
            <w:pPr>
              <w:rPr>
                <w:b w:val="0"/>
              </w:rPr>
            </w:pPr>
            <w:r w:rsidRPr="003A0AC6">
              <w:t>Target Group</w:t>
            </w:r>
          </w:p>
        </w:tc>
        <w:tc>
          <w:tcPr>
            <w:tcW w:w="2126" w:type="dxa"/>
          </w:tcPr>
          <w:p w14:paraId="7A05DD32" w14:textId="2AD9B8E9" w:rsidR="00313F46" w:rsidRPr="003A0AC6" w:rsidRDefault="001830D1" w:rsidP="00C74A7E">
            <w:pPr>
              <w:cnfStyle w:val="100000000000" w:firstRow="1" w:lastRow="0" w:firstColumn="0" w:lastColumn="0" w:oddVBand="0" w:evenVBand="0" w:oddHBand="0" w:evenHBand="0" w:firstRowFirstColumn="0" w:firstRowLastColumn="0" w:lastRowFirstColumn="0" w:lastRowLastColumn="0"/>
              <w:rPr>
                <w:b w:val="0"/>
              </w:rPr>
            </w:pPr>
            <w:r w:rsidRPr="003A0AC6">
              <w:t>Key</w:t>
            </w:r>
            <w:r w:rsidR="00313F46" w:rsidRPr="003A0AC6">
              <w:t xml:space="preserve"> </w:t>
            </w:r>
            <w:r w:rsidR="00C74A7E">
              <w:t>places</w:t>
            </w:r>
            <w:r w:rsidR="009338E0" w:rsidRPr="003A0AC6">
              <w:t xml:space="preserve"> of Delivery</w:t>
            </w:r>
          </w:p>
        </w:tc>
        <w:tc>
          <w:tcPr>
            <w:tcW w:w="5528" w:type="dxa"/>
          </w:tcPr>
          <w:p w14:paraId="4E03BB3A" w14:textId="5DD9C750" w:rsidR="00313F46" w:rsidRPr="003A0AC6" w:rsidRDefault="009338E0" w:rsidP="00FE59D0">
            <w:pPr>
              <w:jc w:val="center"/>
              <w:cnfStyle w:val="100000000000" w:firstRow="1" w:lastRow="0" w:firstColumn="0" w:lastColumn="0" w:oddVBand="0" w:evenVBand="0" w:oddHBand="0" w:evenHBand="0" w:firstRowFirstColumn="0" w:firstRowLastColumn="0" w:lastRowFirstColumn="0" w:lastRowLastColumn="0"/>
              <w:rPr>
                <w:b w:val="0"/>
              </w:rPr>
            </w:pPr>
            <w:r w:rsidRPr="003A0AC6">
              <w:t>Typical examples of interventions</w:t>
            </w:r>
          </w:p>
        </w:tc>
      </w:tr>
      <w:tr w:rsidR="009338E0" w14:paraId="753AF6B8" w14:textId="77777777" w:rsidTr="0055636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2D925943" w14:textId="48FC85D3" w:rsidR="009338E0" w:rsidRPr="00115178" w:rsidRDefault="009338E0" w:rsidP="001830D1">
            <w:pPr>
              <w:rPr>
                <w:sz w:val="20"/>
                <w:szCs w:val="20"/>
              </w:rPr>
            </w:pPr>
            <w:r w:rsidRPr="00115178">
              <w:rPr>
                <w:sz w:val="20"/>
                <w:szCs w:val="20"/>
              </w:rPr>
              <w:t xml:space="preserve">People </w:t>
            </w:r>
            <w:r w:rsidRPr="00B733BC">
              <w:rPr>
                <w:i/>
                <w:sz w:val="20"/>
                <w:szCs w:val="20"/>
              </w:rPr>
              <w:t>currently involved</w:t>
            </w:r>
            <w:r w:rsidR="00B55C0E">
              <w:rPr>
                <w:sz w:val="20"/>
                <w:szCs w:val="20"/>
              </w:rPr>
              <w:t xml:space="preserve"> in crime/violence (38%: n=18</w:t>
            </w:r>
            <w:r w:rsidRPr="00115178">
              <w:rPr>
                <w:sz w:val="20"/>
                <w:szCs w:val="20"/>
              </w:rPr>
              <w:t>)</w:t>
            </w:r>
          </w:p>
        </w:tc>
        <w:tc>
          <w:tcPr>
            <w:tcW w:w="2126" w:type="dxa"/>
          </w:tcPr>
          <w:p w14:paraId="6277397A" w14:textId="3904200C" w:rsidR="009338E0" w:rsidRPr="00115178" w:rsidRDefault="00B55C0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Hospital A&amp;E (n=3</w:t>
            </w:r>
            <w:r w:rsidR="009338E0" w:rsidRPr="00115178">
              <w:rPr>
                <w:sz w:val="20"/>
                <w:szCs w:val="20"/>
              </w:rPr>
              <w:t>)</w:t>
            </w:r>
          </w:p>
        </w:tc>
        <w:tc>
          <w:tcPr>
            <w:tcW w:w="5528" w:type="dxa"/>
          </w:tcPr>
          <w:p w14:paraId="12E4F941" w14:textId="72EB8595" w:rsidR="009338E0" w:rsidRPr="00115178" w:rsidRDefault="009338E0" w:rsidP="00C74A7E">
            <w:pPr>
              <w:cnfStyle w:val="000000100000" w:firstRow="0" w:lastRow="0" w:firstColumn="0" w:lastColumn="0" w:oddVBand="0" w:evenVBand="0" w:oddHBand="1" w:evenHBand="0" w:firstRowFirstColumn="0" w:firstRowLastColumn="0" w:lastRowFirstColumn="0" w:lastRowLastColumn="0"/>
              <w:rPr>
                <w:sz w:val="20"/>
                <w:szCs w:val="20"/>
              </w:rPr>
            </w:pPr>
            <w:r w:rsidRPr="00115178">
              <w:rPr>
                <w:sz w:val="20"/>
                <w:szCs w:val="20"/>
              </w:rPr>
              <w:t xml:space="preserve">A&amp;E admissions programmes with victims/survivors </w:t>
            </w:r>
            <w:r w:rsidR="0055636B">
              <w:rPr>
                <w:sz w:val="20"/>
                <w:szCs w:val="20"/>
              </w:rPr>
              <w:t>of knife crime</w:t>
            </w:r>
          </w:p>
        </w:tc>
      </w:tr>
      <w:tr w:rsidR="009338E0" w14:paraId="2C33C8DF" w14:textId="77777777" w:rsidTr="0055636B">
        <w:trPr>
          <w:trHeight w:val="429"/>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E2EFD9" w:themeFill="accent6" w:themeFillTint="33"/>
          </w:tcPr>
          <w:p w14:paraId="5B984E52" w14:textId="77777777" w:rsidR="009338E0" w:rsidRPr="00115178" w:rsidRDefault="009338E0" w:rsidP="001830D1">
            <w:pPr>
              <w:rPr>
                <w:sz w:val="20"/>
                <w:szCs w:val="20"/>
              </w:rPr>
            </w:pPr>
          </w:p>
        </w:tc>
        <w:tc>
          <w:tcPr>
            <w:tcW w:w="2126" w:type="dxa"/>
            <w:shd w:val="clear" w:color="auto" w:fill="E2EFD9" w:themeFill="accent6" w:themeFillTint="33"/>
          </w:tcPr>
          <w:p w14:paraId="7D017488" w14:textId="61211497" w:rsidR="009338E0" w:rsidRPr="00115178" w:rsidRDefault="009338E0">
            <w:pPr>
              <w:cnfStyle w:val="000000000000" w:firstRow="0" w:lastRow="0" w:firstColumn="0" w:lastColumn="0" w:oddVBand="0" w:evenVBand="0" w:oddHBand="0" w:evenHBand="0" w:firstRowFirstColumn="0" w:firstRowLastColumn="0" w:lastRowFirstColumn="0" w:lastRowLastColumn="0"/>
              <w:rPr>
                <w:sz w:val="20"/>
                <w:szCs w:val="20"/>
              </w:rPr>
            </w:pPr>
            <w:r w:rsidRPr="00115178">
              <w:rPr>
                <w:sz w:val="20"/>
                <w:szCs w:val="20"/>
              </w:rPr>
              <w:t>Custody/police (n=4)</w:t>
            </w:r>
          </w:p>
        </w:tc>
        <w:tc>
          <w:tcPr>
            <w:tcW w:w="5528" w:type="dxa"/>
            <w:shd w:val="clear" w:color="auto" w:fill="E2EFD9" w:themeFill="accent6" w:themeFillTint="33"/>
          </w:tcPr>
          <w:p w14:paraId="3BE06FF4" w14:textId="49F84CF9" w:rsidR="009338E0" w:rsidRPr="00115178" w:rsidRDefault="00C74A7E" w:rsidP="009338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Mentoring and support in custody settings</w:t>
            </w:r>
            <w:r w:rsidR="00A245AA">
              <w:rPr>
                <w:sz w:val="20"/>
                <w:szCs w:val="20"/>
              </w:rPr>
              <w:t xml:space="preserve"> and aftercare for known offenders </w:t>
            </w:r>
            <w:r>
              <w:rPr>
                <w:sz w:val="20"/>
                <w:szCs w:val="20"/>
              </w:rPr>
              <w:t xml:space="preserve"> </w:t>
            </w:r>
          </w:p>
        </w:tc>
      </w:tr>
      <w:tr w:rsidR="009338E0" w14:paraId="6C2E5D33" w14:textId="77777777" w:rsidTr="0055636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55" w:type="dxa"/>
            <w:vMerge/>
          </w:tcPr>
          <w:p w14:paraId="59ADD5B2" w14:textId="77777777" w:rsidR="009338E0" w:rsidRPr="00115178" w:rsidRDefault="009338E0" w:rsidP="001830D1">
            <w:pPr>
              <w:rPr>
                <w:sz w:val="20"/>
                <w:szCs w:val="20"/>
              </w:rPr>
            </w:pPr>
          </w:p>
        </w:tc>
        <w:tc>
          <w:tcPr>
            <w:tcW w:w="2126" w:type="dxa"/>
          </w:tcPr>
          <w:p w14:paraId="7CEC00D3" w14:textId="4D1FBCAC" w:rsidR="009338E0" w:rsidRPr="00115178" w:rsidRDefault="00115178" w:rsidP="009338E0">
            <w:pPr>
              <w:cnfStyle w:val="000000100000" w:firstRow="0" w:lastRow="0" w:firstColumn="0" w:lastColumn="0" w:oddVBand="0" w:evenVBand="0" w:oddHBand="1" w:evenHBand="0" w:firstRowFirstColumn="0" w:firstRowLastColumn="0" w:lastRowFirstColumn="0" w:lastRowLastColumn="0"/>
              <w:rPr>
                <w:sz w:val="20"/>
                <w:szCs w:val="20"/>
              </w:rPr>
            </w:pPr>
            <w:r w:rsidRPr="00115178">
              <w:rPr>
                <w:sz w:val="20"/>
                <w:szCs w:val="20"/>
              </w:rPr>
              <w:t>Robbery/knife crime hotspots (n=3)</w:t>
            </w:r>
          </w:p>
        </w:tc>
        <w:tc>
          <w:tcPr>
            <w:tcW w:w="5528" w:type="dxa"/>
          </w:tcPr>
          <w:p w14:paraId="04E8A5D4" w14:textId="743E066B" w:rsidR="009338E0" w:rsidRPr="00115178" w:rsidRDefault="00115178" w:rsidP="009338E0">
            <w:pPr>
              <w:cnfStyle w:val="000000100000" w:firstRow="0" w:lastRow="0" w:firstColumn="0" w:lastColumn="0" w:oddVBand="0" w:evenVBand="0" w:oddHBand="1" w:evenHBand="0" w:firstRowFirstColumn="0" w:firstRowLastColumn="0" w:lastRowFirstColumn="0" w:lastRowLastColumn="0"/>
              <w:rPr>
                <w:sz w:val="20"/>
                <w:szCs w:val="20"/>
              </w:rPr>
            </w:pPr>
            <w:r w:rsidRPr="00115178">
              <w:rPr>
                <w:sz w:val="20"/>
                <w:szCs w:val="20"/>
              </w:rPr>
              <w:t>Hotspot policing in communities with high rates of violence</w:t>
            </w:r>
          </w:p>
        </w:tc>
      </w:tr>
      <w:tr w:rsidR="009338E0" w14:paraId="7AECFBD4" w14:textId="77777777" w:rsidTr="0055636B">
        <w:trPr>
          <w:trHeight w:val="497"/>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E2EFD9" w:themeFill="accent6" w:themeFillTint="33"/>
          </w:tcPr>
          <w:p w14:paraId="49BA6DA8" w14:textId="77777777" w:rsidR="009338E0" w:rsidRPr="00115178" w:rsidRDefault="009338E0" w:rsidP="001830D1">
            <w:pPr>
              <w:rPr>
                <w:sz w:val="20"/>
                <w:szCs w:val="20"/>
              </w:rPr>
            </w:pPr>
          </w:p>
        </w:tc>
        <w:tc>
          <w:tcPr>
            <w:tcW w:w="2126" w:type="dxa"/>
            <w:shd w:val="clear" w:color="auto" w:fill="E2EFD9" w:themeFill="accent6" w:themeFillTint="33"/>
          </w:tcPr>
          <w:p w14:paraId="100D90E3" w14:textId="0F6AC35A" w:rsidR="009338E0" w:rsidRPr="00115178" w:rsidRDefault="00C74A7E" w:rsidP="00C74A7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Via r</w:t>
            </w:r>
            <w:r w:rsidR="00115178" w:rsidRPr="00115178">
              <w:rPr>
                <w:sz w:val="20"/>
                <w:szCs w:val="20"/>
              </w:rPr>
              <w:t>ange of other agencies (n=8)</w:t>
            </w:r>
          </w:p>
        </w:tc>
        <w:tc>
          <w:tcPr>
            <w:tcW w:w="5528" w:type="dxa"/>
            <w:shd w:val="clear" w:color="auto" w:fill="E2EFD9" w:themeFill="accent6" w:themeFillTint="33"/>
          </w:tcPr>
          <w:p w14:paraId="737C198C" w14:textId="5C6D6D59" w:rsidR="009338E0" w:rsidRPr="00115178" w:rsidRDefault="00CB1BFC" w:rsidP="00CB1B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Supporting positive behaviours/addressing problems </w:t>
            </w:r>
            <w:r w:rsidR="00C74A7E">
              <w:rPr>
                <w:sz w:val="20"/>
                <w:szCs w:val="20"/>
              </w:rPr>
              <w:t xml:space="preserve">through mentoring and coaching; careers advice/employment support; sports interventions/working within IOM. </w:t>
            </w:r>
          </w:p>
        </w:tc>
      </w:tr>
      <w:tr w:rsidR="00115178" w14:paraId="3DDB0C43" w14:textId="77777777" w:rsidTr="0055636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7217F550" w14:textId="250B0F60" w:rsidR="00115178" w:rsidRPr="00115178" w:rsidRDefault="00115178" w:rsidP="001830D1">
            <w:pPr>
              <w:rPr>
                <w:sz w:val="20"/>
                <w:szCs w:val="20"/>
              </w:rPr>
            </w:pPr>
            <w:r w:rsidRPr="00115178">
              <w:rPr>
                <w:sz w:val="20"/>
                <w:szCs w:val="20"/>
              </w:rPr>
              <w:t xml:space="preserve">People who are a </w:t>
            </w:r>
            <w:r w:rsidRPr="00115178">
              <w:rPr>
                <w:i/>
                <w:sz w:val="20"/>
                <w:szCs w:val="20"/>
              </w:rPr>
              <w:t>known</w:t>
            </w:r>
            <w:r w:rsidRPr="00115178">
              <w:rPr>
                <w:sz w:val="20"/>
                <w:szCs w:val="20"/>
              </w:rPr>
              <w:t xml:space="preserve"> risk/ </w:t>
            </w:r>
            <w:r w:rsidR="0024549A" w:rsidRPr="0024549A">
              <w:rPr>
                <w:i/>
                <w:sz w:val="20"/>
                <w:szCs w:val="20"/>
              </w:rPr>
              <w:t>known</w:t>
            </w:r>
            <w:r w:rsidR="0024549A">
              <w:rPr>
                <w:sz w:val="20"/>
                <w:szCs w:val="20"/>
              </w:rPr>
              <w:t xml:space="preserve"> </w:t>
            </w:r>
            <w:r w:rsidR="00B55C0E">
              <w:rPr>
                <w:sz w:val="20"/>
                <w:szCs w:val="20"/>
              </w:rPr>
              <w:t>to services (11</w:t>
            </w:r>
            <w:r w:rsidR="00F01D2C">
              <w:rPr>
                <w:sz w:val="20"/>
                <w:szCs w:val="20"/>
              </w:rPr>
              <w:t>%: n=5</w:t>
            </w:r>
            <w:r w:rsidRPr="00115178">
              <w:rPr>
                <w:sz w:val="20"/>
                <w:szCs w:val="20"/>
              </w:rPr>
              <w:t>)</w:t>
            </w:r>
            <w:r w:rsidR="00B55C0E">
              <w:rPr>
                <w:rStyle w:val="FootnoteReference"/>
                <w:sz w:val="20"/>
                <w:szCs w:val="20"/>
              </w:rPr>
              <w:footnoteReference w:id="1"/>
            </w:r>
          </w:p>
        </w:tc>
        <w:tc>
          <w:tcPr>
            <w:tcW w:w="2126" w:type="dxa"/>
            <w:shd w:val="clear" w:color="auto" w:fill="FFFFFF" w:themeFill="background1"/>
          </w:tcPr>
          <w:p w14:paraId="1C2B03AA" w14:textId="5595E7D4" w:rsidR="00115178" w:rsidRPr="00115178" w:rsidRDefault="00F01D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Custody/police (n=1</w:t>
            </w:r>
            <w:r w:rsidR="00115178" w:rsidRPr="00115178">
              <w:rPr>
                <w:sz w:val="20"/>
                <w:szCs w:val="20"/>
              </w:rPr>
              <w:t>)</w:t>
            </w:r>
          </w:p>
        </w:tc>
        <w:tc>
          <w:tcPr>
            <w:tcW w:w="5528" w:type="dxa"/>
            <w:shd w:val="clear" w:color="auto" w:fill="FFFFFF" w:themeFill="background1"/>
          </w:tcPr>
          <w:p w14:paraId="39383F24" w14:textId="634D0059" w:rsidR="00115178" w:rsidRPr="00115178" w:rsidRDefault="00C74A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Mentoring and support </w:t>
            </w:r>
            <w:r w:rsidR="00CB1BFC">
              <w:rPr>
                <w:sz w:val="20"/>
                <w:szCs w:val="20"/>
              </w:rPr>
              <w:t>at point of arrest</w:t>
            </w:r>
          </w:p>
        </w:tc>
      </w:tr>
      <w:tr w:rsidR="00115178" w14:paraId="25EB0317" w14:textId="77777777" w:rsidTr="0055636B">
        <w:trPr>
          <w:trHeight w:val="555"/>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910633F" w14:textId="77777777" w:rsidR="00115178" w:rsidRPr="00115178" w:rsidRDefault="00115178" w:rsidP="001830D1">
            <w:pPr>
              <w:rPr>
                <w:sz w:val="20"/>
                <w:szCs w:val="20"/>
              </w:rPr>
            </w:pPr>
          </w:p>
        </w:tc>
        <w:tc>
          <w:tcPr>
            <w:tcW w:w="2126" w:type="dxa"/>
            <w:shd w:val="clear" w:color="auto" w:fill="FFFFFF" w:themeFill="background1"/>
          </w:tcPr>
          <w:p w14:paraId="34BC6A0A" w14:textId="75AA8F92" w:rsidR="00115178" w:rsidRPr="00115178" w:rsidRDefault="00C74A7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Via r</w:t>
            </w:r>
            <w:r w:rsidR="00115178" w:rsidRPr="00115178">
              <w:rPr>
                <w:sz w:val="20"/>
                <w:szCs w:val="20"/>
              </w:rPr>
              <w:t>ange of</w:t>
            </w:r>
            <w:r w:rsidR="00F01D2C">
              <w:rPr>
                <w:sz w:val="20"/>
                <w:szCs w:val="20"/>
              </w:rPr>
              <w:t xml:space="preserve"> other agencies (n=4</w:t>
            </w:r>
            <w:r w:rsidR="00115178" w:rsidRPr="00115178">
              <w:rPr>
                <w:sz w:val="20"/>
                <w:szCs w:val="20"/>
              </w:rPr>
              <w:t>)</w:t>
            </w:r>
          </w:p>
        </w:tc>
        <w:tc>
          <w:tcPr>
            <w:tcW w:w="5528" w:type="dxa"/>
            <w:shd w:val="clear" w:color="auto" w:fill="FFFFFF" w:themeFill="background1"/>
          </w:tcPr>
          <w:p w14:paraId="3B3CC8AA" w14:textId="0935D3BD" w:rsidR="00115178" w:rsidRPr="00115178" w:rsidRDefault="00CB1BFC" w:rsidP="00CB1B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Supporting positive behaviours/addressing problems through t</w:t>
            </w:r>
            <w:r w:rsidR="00C74A7E">
              <w:rPr>
                <w:sz w:val="20"/>
                <w:szCs w:val="20"/>
              </w:rPr>
              <w:t xml:space="preserve">rauma therapy/a range of interventions building protective factors (see above) </w:t>
            </w:r>
          </w:p>
        </w:tc>
      </w:tr>
      <w:tr w:rsidR="00115178" w14:paraId="0A2D6AEB" w14:textId="77777777" w:rsidTr="0055636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1087A127" w14:textId="1FC712F4" w:rsidR="00115178" w:rsidRPr="00115178" w:rsidRDefault="00115178">
            <w:pPr>
              <w:rPr>
                <w:sz w:val="20"/>
                <w:szCs w:val="20"/>
              </w:rPr>
            </w:pPr>
            <w:r w:rsidRPr="00115178">
              <w:rPr>
                <w:sz w:val="20"/>
                <w:szCs w:val="20"/>
              </w:rPr>
              <w:t xml:space="preserve">People who are </w:t>
            </w:r>
            <w:r w:rsidRPr="00115178">
              <w:rPr>
                <w:i/>
                <w:sz w:val="20"/>
                <w:szCs w:val="20"/>
              </w:rPr>
              <w:t>potentially</w:t>
            </w:r>
            <w:r w:rsidRPr="00115178">
              <w:rPr>
                <w:sz w:val="20"/>
                <w:szCs w:val="20"/>
              </w:rPr>
              <w:t xml:space="preserve"> at high risk</w:t>
            </w:r>
            <w:r w:rsidR="0024549A">
              <w:rPr>
                <w:sz w:val="20"/>
                <w:szCs w:val="20"/>
              </w:rPr>
              <w:t xml:space="preserve"> due to location/ proximity to offenders </w:t>
            </w:r>
            <w:r w:rsidR="00B55C0E">
              <w:rPr>
                <w:sz w:val="20"/>
                <w:szCs w:val="20"/>
              </w:rPr>
              <w:t xml:space="preserve"> (30</w:t>
            </w:r>
            <w:r w:rsidRPr="00115178">
              <w:rPr>
                <w:sz w:val="20"/>
                <w:szCs w:val="20"/>
              </w:rPr>
              <w:t xml:space="preserve">%: n=14) </w:t>
            </w:r>
          </w:p>
          <w:p w14:paraId="17724B6C" w14:textId="4C69C3C1" w:rsidR="00115178" w:rsidRPr="00115178" w:rsidRDefault="00115178">
            <w:pPr>
              <w:rPr>
                <w:sz w:val="20"/>
                <w:szCs w:val="20"/>
              </w:rPr>
            </w:pPr>
          </w:p>
        </w:tc>
        <w:tc>
          <w:tcPr>
            <w:tcW w:w="2126" w:type="dxa"/>
          </w:tcPr>
          <w:p w14:paraId="16C422FD" w14:textId="2F500093" w:rsidR="00115178" w:rsidRPr="00115178" w:rsidRDefault="00F01D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Schools (n=2</w:t>
            </w:r>
            <w:r w:rsidR="00115178" w:rsidRPr="00115178">
              <w:rPr>
                <w:sz w:val="20"/>
                <w:szCs w:val="20"/>
              </w:rPr>
              <w:t>)</w:t>
            </w:r>
          </w:p>
        </w:tc>
        <w:tc>
          <w:tcPr>
            <w:tcW w:w="5528" w:type="dxa"/>
          </w:tcPr>
          <w:p w14:paraId="3135D659" w14:textId="67FB5E42" w:rsidR="00115178" w:rsidRPr="00115178" w:rsidRDefault="00115178" w:rsidP="00115178">
            <w:pPr>
              <w:cnfStyle w:val="000000100000" w:firstRow="0" w:lastRow="0" w:firstColumn="0" w:lastColumn="0" w:oddVBand="0" w:evenVBand="0" w:oddHBand="1" w:evenHBand="0" w:firstRowFirstColumn="0" w:firstRowLastColumn="0" w:lastRowFirstColumn="0" w:lastRowLastColumn="0"/>
              <w:rPr>
                <w:sz w:val="20"/>
                <w:szCs w:val="20"/>
              </w:rPr>
            </w:pPr>
            <w:r w:rsidRPr="00115178">
              <w:rPr>
                <w:sz w:val="20"/>
                <w:szCs w:val="20"/>
              </w:rPr>
              <w:t>Targeted mentoring and support programmes</w:t>
            </w:r>
            <w:r w:rsidR="00CB1BFC">
              <w:rPr>
                <w:sz w:val="20"/>
                <w:szCs w:val="20"/>
              </w:rPr>
              <w:t xml:space="preserve"> delivered</w:t>
            </w:r>
            <w:r w:rsidRPr="00115178">
              <w:rPr>
                <w:sz w:val="20"/>
                <w:szCs w:val="20"/>
              </w:rPr>
              <w:t xml:space="preserve"> in schools </w:t>
            </w:r>
          </w:p>
          <w:p w14:paraId="7D7EF296" w14:textId="77777777" w:rsidR="00115178" w:rsidRPr="00115178" w:rsidRDefault="00115178">
            <w:pPr>
              <w:cnfStyle w:val="000000100000" w:firstRow="0" w:lastRow="0" w:firstColumn="0" w:lastColumn="0" w:oddVBand="0" w:evenVBand="0" w:oddHBand="1" w:evenHBand="0" w:firstRowFirstColumn="0" w:firstRowLastColumn="0" w:lastRowFirstColumn="0" w:lastRowLastColumn="0"/>
              <w:rPr>
                <w:sz w:val="20"/>
                <w:szCs w:val="20"/>
              </w:rPr>
            </w:pPr>
          </w:p>
        </w:tc>
      </w:tr>
      <w:tr w:rsidR="00115178" w14:paraId="7359899D" w14:textId="77777777" w:rsidTr="0055636B">
        <w:trPr>
          <w:trHeight w:val="27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E2EFD9" w:themeFill="accent6" w:themeFillTint="33"/>
          </w:tcPr>
          <w:p w14:paraId="19DA613F" w14:textId="77777777" w:rsidR="00115178" w:rsidRPr="00115178" w:rsidRDefault="00115178">
            <w:pPr>
              <w:rPr>
                <w:sz w:val="20"/>
                <w:szCs w:val="20"/>
              </w:rPr>
            </w:pPr>
          </w:p>
        </w:tc>
        <w:tc>
          <w:tcPr>
            <w:tcW w:w="2126" w:type="dxa"/>
            <w:shd w:val="clear" w:color="auto" w:fill="E2EFD9" w:themeFill="accent6" w:themeFillTint="33"/>
          </w:tcPr>
          <w:p w14:paraId="69D16867" w14:textId="130983DA" w:rsidR="00115178" w:rsidRPr="00115178" w:rsidRDefault="00115178">
            <w:pPr>
              <w:cnfStyle w:val="000000000000" w:firstRow="0" w:lastRow="0" w:firstColumn="0" w:lastColumn="0" w:oddVBand="0" w:evenVBand="0" w:oddHBand="0" w:evenHBand="0" w:firstRowFirstColumn="0" w:firstRowLastColumn="0" w:lastRowFirstColumn="0" w:lastRowLastColumn="0"/>
              <w:rPr>
                <w:sz w:val="20"/>
                <w:szCs w:val="20"/>
              </w:rPr>
            </w:pPr>
            <w:r w:rsidRPr="00115178">
              <w:rPr>
                <w:sz w:val="20"/>
                <w:szCs w:val="20"/>
              </w:rPr>
              <w:t xml:space="preserve">Recording studios (n=2) </w:t>
            </w:r>
          </w:p>
        </w:tc>
        <w:tc>
          <w:tcPr>
            <w:tcW w:w="5528" w:type="dxa"/>
            <w:shd w:val="clear" w:color="auto" w:fill="E2EFD9" w:themeFill="accent6" w:themeFillTint="33"/>
          </w:tcPr>
          <w:p w14:paraId="219F324D" w14:textId="16620AFB" w:rsidR="00115178" w:rsidRPr="00115178" w:rsidRDefault="00CB1BFC" w:rsidP="00CB1B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Supporting positive behaviours </w:t>
            </w:r>
            <w:r w:rsidR="00C74A7E">
              <w:rPr>
                <w:sz w:val="20"/>
                <w:szCs w:val="20"/>
              </w:rPr>
              <w:t xml:space="preserve">through music based interventions </w:t>
            </w:r>
          </w:p>
        </w:tc>
      </w:tr>
      <w:tr w:rsidR="00115178" w14:paraId="5FDD7CA0" w14:textId="77777777" w:rsidTr="0055636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555" w:type="dxa"/>
            <w:vMerge/>
          </w:tcPr>
          <w:p w14:paraId="4D013D7A" w14:textId="77777777" w:rsidR="00115178" w:rsidRPr="00115178" w:rsidRDefault="00115178">
            <w:pPr>
              <w:rPr>
                <w:sz w:val="20"/>
                <w:szCs w:val="20"/>
              </w:rPr>
            </w:pPr>
          </w:p>
        </w:tc>
        <w:tc>
          <w:tcPr>
            <w:tcW w:w="2126" w:type="dxa"/>
          </w:tcPr>
          <w:p w14:paraId="43A04B76" w14:textId="55886C47" w:rsidR="00115178" w:rsidRPr="00115178" w:rsidRDefault="00C74A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Via r</w:t>
            </w:r>
            <w:r w:rsidR="00115178" w:rsidRPr="00115178">
              <w:rPr>
                <w:sz w:val="20"/>
                <w:szCs w:val="20"/>
              </w:rPr>
              <w:t>ange of other agencies (</w:t>
            </w:r>
            <w:r w:rsidR="00F01D2C">
              <w:rPr>
                <w:sz w:val="20"/>
                <w:szCs w:val="20"/>
              </w:rPr>
              <w:t>n=10</w:t>
            </w:r>
            <w:r w:rsidR="00115178" w:rsidRPr="00115178">
              <w:rPr>
                <w:sz w:val="20"/>
                <w:szCs w:val="20"/>
              </w:rPr>
              <w:t>)</w:t>
            </w:r>
          </w:p>
        </w:tc>
        <w:tc>
          <w:tcPr>
            <w:tcW w:w="5528" w:type="dxa"/>
          </w:tcPr>
          <w:p w14:paraId="777BB50C" w14:textId="06E4F4A0" w:rsidR="00115178" w:rsidRPr="00115178" w:rsidRDefault="00CB1BFC" w:rsidP="00C74A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Supporting positive behaviours</w:t>
            </w:r>
            <w:r w:rsidR="002F7791">
              <w:rPr>
                <w:sz w:val="20"/>
                <w:szCs w:val="20"/>
              </w:rPr>
              <w:t>/</w:t>
            </w:r>
            <w:r>
              <w:rPr>
                <w:sz w:val="20"/>
                <w:szCs w:val="20"/>
              </w:rPr>
              <w:t xml:space="preserve">addressing problems through </w:t>
            </w:r>
            <w:r w:rsidR="00C74A7E">
              <w:rPr>
                <w:sz w:val="20"/>
                <w:szCs w:val="20"/>
              </w:rPr>
              <w:t>mentoring and coaching; careers advice</w:t>
            </w:r>
            <w:r w:rsidR="005B1E48">
              <w:rPr>
                <w:sz w:val="20"/>
                <w:szCs w:val="20"/>
              </w:rPr>
              <w:t>/</w:t>
            </w:r>
            <w:r w:rsidR="00C74A7E">
              <w:rPr>
                <w:sz w:val="20"/>
                <w:szCs w:val="20"/>
              </w:rPr>
              <w:t>employment support</w:t>
            </w:r>
            <w:r w:rsidR="005B1E48">
              <w:rPr>
                <w:sz w:val="20"/>
                <w:szCs w:val="20"/>
              </w:rPr>
              <w:t>/</w:t>
            </w:r>
            <w:r w:rsidR="00C74A7E">
              <w:rPr>
                <w:sz w:val="20"/>
                <w:szCs w:val="20"/>
              </w:rPr>
              <w:t xml:space="preserve"> sports interventions/building emotional resilience</w:t>
            </w:r>
          </w:p>
        </w:tc>
      </w:tr>
      <w:tr w:rsidR="00B733BC" w14:paraId="7EE5960C" w14:textId="77777777" w:rsidTr="0055636B">
        <w:trPr>
          <w:trHeight w:val="195"/>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FFFFFF" w:themeFill="background1"/>
          </w:tcPr>
          <w:p w14:paraId="0B6B67C1" w14:textId="27669266" w:rsidR="00B733BC" w:rsidRPr="00115178" w:rsidRDefault="00B733BC">
            <w:pPr>
              <w:rPr>
                <w:sz w:val="20"/>
                <w:szCs w:val="20"/>
              </w:rPr>
            </w:pPr>
            <w:r w:rsidRPr="00115178">
              <w:rPr>
                <w:sz w:val="20"/>
                <w:szCs w:val="20"/>
              </w:rPr>
              <w:t>Universal</w:t>
            </w:r>
            <w:r w:rsidR="0024549A">
              <w:rPr>
                <w:sz w:val="20"/>
                <w:szCs w:val="20"/>
              </w:rPr>
              <w:t xml:space="preserve"> delivery to those with no known involvement</w:t>
            </w:r>
            <w:r w:rsidR="00B55C0E">
              <w:rPr>
                <w:sz w:val="20"/>
                <w:szCs w:val="20"/>
              </w:rPr>
              <w:t xml:space="preserve"> (15</w:t>
            </w:r>
            <w:r w:rsidR="00F01D2C">
              <w:rPr>
                <w:sz w:val="20"/>
                <w:szCs w:val="20"/>
              </w:rPr>
              <w:t>%: n=7</w:t>
            </w:r>
            <w:r w:rsidRPr="00115178">
              <w:rPr>
                <w:sz w:val="20"/>
                <w:szCs w:val="20"/>
              </w:rPr>
              <w:t>)</w:t>
            </w:r>
          </w:p>
        </w:tc>
        <w:tc>
          <w:tcPr>
            <w:tcW w:w="2126" w:type="dxa"/>
            <w:shd w:val="clear" w:color="auto" w:fill="FFFFFF" w:themeFill="background1"/>
          </w:tcPr>
          <w:p w14:paraId="32781B4D" w14:textId="3FFC05E8" w:rsidR="00B733BC" w:rsidRPr="00115178" w:rsidRDefault="00B733BC">
            <w:pPr>
              <w:cnfStyle w:val="000000000000" w:firstRow="0" w:lastRow="0" w:firstColumn="0" w:lastColumn="0" w:oddVBand="0" w:evenVBand="0" w:oddHBand="0" w:evenHBand="0" w:firstRowFirstColumn="0" w:firstRowLastColumn="0" w:lastRowFirstColumn="0" w:lastRowLastColumn="0"/>
              <w:rPr>
                <w:sz w:val="20"/>
                <w:szCs w:val="20"/>
              </w:rPr>
            </w:pPr>
            <w:r w:rsidRPr="00115178">
              <w:rPr>
                <w:sz w:val="20"/>
                <w:szCs w:val="20"/>
              </w:rPr>
              <w:t>Schools (</w:t>
            </w:r>
            <w:r w:rsidR="0055636B">
              <w:rPr>
                <w:sz w:val="20"/>
                <w:szCs w:val="20"/>
              </w:rPr>
              <w:t>n=4</w:t>
            </w:r>
            <w:r w:rsidRPr="00115178">
              <w:rPr>
                <w:sz w:val="20"/>
                <w:szCs w:val="20"/>
              </w:rPr>
              <w:t>)</w:t>
            </w:r>
          </w:p>
        </w:tc>
        <w:tc>
          <w:tcPr>
            <w:tcW w:w="5528" w:type="dxa"/>
            <w:shd w:val="clear" w:color="auto" w:fill="FFFFFF" w:themeFill="background1"/>
          </w:tcPr>
          <w:p w14:paraId="62747649" w14:textId="0A7A5338" w:rsidR="00B733BC" w:rsidRPr="00115178" w:rsidRDefault="00B733BC" w:rsidP="00B733BC">
            <w:pPr>
              <w:cnfStyle w:val="000000000000" w:firstRow="0" w:lastRow="0" w:firstColumn="0" w:lastColumn="0" w:oddVBand="0" w:evenVBand="0" w:oddHBand="0" w:evenHBand="0" w:firstRowFirstColumn="0" w:firstRowLastColumn="0" w:lastRowFirstColumn="0" w:lastRowLastColumn="0"/>
              <w:rPr>
                <w:sz w:val="20"/>
                <w:szCs w:val="20"/>
              </w:rPr>
            </w:pPr>
            <w:r w:rsidRPr="00115178">
              <w:rPr>
                <w:sz w:val="20"/>
                <w:szCs w:val="20"/>
              </w:rPr>
              <w:t>Ed</w:t>
            </w:r>
            <w:r w:rsidR="00C74A7E">
              <w:rPr>
                <w:sz w:val="20"/>
                <w:szCs w:val="20"/>
              </w:rPr>
              <w:t>ucational programmes in schools and safeguarding</w:t>
            </w:r>
          </w:p>
          <w:p w14:paraId="44BC17B0" w14:textId="40415405" w:rsidR="00B733BC" w:rsidRPr="00115178" w:rsidRDefault="00B733BC">
            <w:pPr>
              <w:cnfStyle w:val="000000000000" w:firstRow="0" w:lastRow="0" w:firstColumn="0" w:lastColumn="0" w:oddVBand="0" w:evenVBand="0" w:oddHBand="0" w:evenHBand="0" w:firstRowFirstColumn="0" w:firstRowLastColumn="0" w:lastRowFirstColumn="0" w:lastRowLastColumn="0"/>
              <w:rPr>
                <w:sz w:val="20"/>
                <w:szCs w:val="20"/>
              </w:rPr>
            </w:pPr>
          </w:p>
        </w:tc>
      </w:tr>
      <w:tr w:rsidR="00B733BC" w14:paraId="6031B711" w14:textId="77777777" w:rsidTr="0055636B">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5BF2028F" w14:textId="77777777" w:rsidR="00B733BC" w:rsidRPr="00115178" w:rsidRDefault="00B733BC">
            <w:pPr>
              <w:rPr>
                <w:sz w:val="20"/>
                <w:szCs w:val="20"/>
              </w:rPr>
            </w:pPr>
          </w:p>
        </w:tc>
        <w:tc>
          <w:tcPr>
            <w:tcW w:w="2126" w:type="dxa"/>
            <w:shd w:val="clear" w:color="auto" w:fill="FFFFFF" w:themeFill="background1"/>
          </w:tcPr>
          <w:p w14:paraId="6E58FEA4" w14:textId="27988AF3" w:rsidR="00B733BC" w:rsidRPr="00115178" w:rsidRDefault="00B733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Social media (n=1)</w:t>
            </w:r>
          </w:p>
        </w:tc>
        <w:tc>
          <w:tcPr>
            <w:tcW w:w="5528" w:type="dxa"/>
            <w:shd w:val="clear" w:color="auto" w:fill="FFFFFF" w:themeFill="background1"/>
          </w:tcPr>
          <w:p w14:paraId="672DB97C" w14:textId="188953B4" w:rsidR="00B733BC" w:rsidRPr="00115178" w:rsidRDefault="00CB1BFC" w:rsidP="00CB1BF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Focused m</w:t>
            </w:r>
            <w:r w:rsidR="00C74A7E">
              <w:rPr>
                <w:sz w:val="20"/>
                <w:szCs w:val="20"/>
              </w:rPr>
              <w:t>essaging on risks of knife crime/violence</w:t>
            </w:r>
          </w:p>
        </w:tc>
      </w:tr>
      <w:tr w:rsidR="00B733BC" w14:paraId="7885AE6D" w14:textId="77777777" w:rsidTr="0055636B">
        <w:trPr>
          <w:trHeight w:val="195"/>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6E48EC07" w14:textId="77777777" w:rsidR="00B733BC" w:rsidRPr="00115178" w:rsidRDefault="00B733BC">
            <w:pPr>
              <w:rPr>
                <w:sz w:val="20"/>
                <w:szCs w:val="20"/>
              </w:rPr>
            </w:pPr>
          </w:p>
        </w:tc>
        <w:tc>
          <w:tcPr>
            <w:tcW w:w="2126" w:type="dxa"/>
            <w:shd w:val="clear" w:color="auto" w:fill="FFFFFF" w:themeFill="background1"/>
          </w:tcPr>
          <w:p w14:paraId="7E93B51C" w14:textId="18734FBC" w:rsidR="00B733BC" w:rsidRPr="00115178" w:rsidRDefault="00B733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Police (n=1)</w:t>
            </w:r>
          </w:p>
        </w:tc>
        <w:tc>
          <w:tcPr>
            <w:tcW w:w="5528" w:type="dxa"/>
            <w:shd w:val="clear" w:color="auto" w:fill="FFFFFF" w:themeFill="background1"/>
          </w:tcPr>
          <w:p w14:paraId="0397FB05" w14:textId="1974AB15" w:rsidR="00B733BC" w:rsidRPr="00115178" w:rsidRDefault="00CB1BFC" w:rsidP="00B733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Police cadet programmes</w:t>
            </w:r>
            <w:r w:rsidR="00C74A7E">
              <w:rPr>
                <w:sz w:val="20"/>
                <w:szCs w:val="20"/>
              </w:rPr>
              <w:t xml:space="preserve"> to give </w:t>
            </w:r>
            <w:r>
              <w:rPr>
                <w:sz w:val="20"/>
                <w:szCs w:val="20"/>
              </w:rPr>
              <w:t xml:space="preserve">young people </w:t>
            </w:r>
            <w:r w:rsidR="00C74A7E">
              <w:rPr>
                <w:sz w:val="20"/>
                <w:szCs w:val="20"/>
              </w:rPr>
              <w:t>insights into policing</w:t>
            </w:r>
          </w:p>
        </w:tc>
      </w:tr>
      <w:tr w:rsidR="00B733BC" w14:paraId="726244DA" w14:textId="77777777" w:rsidTr="0055636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FFFFFF" w:themeFill="background1"/>
          </w:tcPr>
          <w:p w14:paraId="3B8193F8" w14:textId="77777777" w:rsidR="00B733BC" w:rsidRPr="00115178" w:rsidRDefault="00B733BC">
            <w:pPr>
              <w:rPr>
                <w:sz w:val="20"/>
                <w:szCs w:val="20"/>
              </w:rPr>
            </w:pPr>
          </w:p>
        </w:tc>
        <w:tc>
          <w:tcPr>
            <w:tcW w:w="2126" w:type="dxa"/>
            <w:shd w:val="clear" w:color="auto" w:fill="FFFFFF" w:themeFill="background1"/>
          </w:tcPr>
          <w:p w14:paraId="75165B0C" w14:textId="55B70035" w:rsidR="00B733BC" w:rsidRPr="00115178" w:rsidRDefault="00B733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 agencies (n=1)</w:t>
            </w:r>
          </w:p>
        </w:tc>
        <w:tc>
          <w:tcPr>
            <w:tcW w:w="5528" w:type="dxa"/>
            <w:shd w:val="clear" w:color="auto" w:fill="FFFFFF" w:themeFill="background1"/>
          </w:tcPr>
          <w:p w14:paraId="75AFBFE9" w14:textId="1C9D0658" w:rsidR="00B733BC" w:rsidRPr="00115178" w:rsidRDefault="0055636B" w:rsidP="0055636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Educational a</w:t>
            </w:r>
            <w:r w:rsidR="00C74A7E">
              <w:rPr>
                <w:sz w:val="20"/>
                <w:szCs w:val="20"/>
              </w:rPr>
              <w:t xml:space="preserve">nti-knife crime workshops </w:t>
            </w:r>
          </w:p>
        </w:tc>
      </w:tr>
      <w:tr w:rsidR="00B733BC" w14:paraId="3B911970" w14:textId="77777777" w:rsidTr="0055636B">
        <w:trPr>
          <w:trHeight w:val="8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E2EFD9" w:themeFill="accent6" w:themeFillTint="33"/>
          </w:tcPr>
          <w:p w14:paraId="6D124801" w14:textId="7D8EB7FA" w:rsidR="00B733BC" w:rsidRPr="00115178" w:rsidRDefault="00B733BC">
            <w:pPr>
              <w:rPr>
                <w:sz w:val="20"/>
                <w:szCs w:val="20"/>
              </w:rPr>
            </w:pPr>
            <w:r w:rsidRPr="00115178">
              <w:rPr>
                <w:sz w:val="20"/>
                <w:szCs w:val="20"/>
              </w:rPr>
              <w:t>Other</w:t>
            </w:r>
            <w:r w:rsidR="0024549A">
              <w:rPr>
                <w:sz w:val="20"/>
                <w:szCs w:val="20"/>
              </w:rPr>
              <w:t xml:space="preserve"> interventions </w:t>
            </w:r>
            <w:r w:rsidRPr="00115178">
              <w:rPr>
                <w:sz w:val="20"/>
                <w:szCs w:val="20"/>
              </w:rPr>
              <w:t xml:space="preserve"> (7%: n=3)</w:t>
            </w:r>
          </w:p>
        </w:tc>
        <w:tc>
          <w:tcPr>
            <w:tcW w:w="2126" w:type="dxa"/>
            <w:shd w:val="clear" w:color="auto" w:fill="E2EFD9" w:themeFill="accent6" w:themeFillTint="33"/>
          </w:tcPr>
          <w:p w14:paraId="71613B88" w14:textId="2943F024" w:rsidR="00B733BC" w:rsidRPr="00115178" w:rsidRDefault="00B733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Retail (n=1)</w:t>
            </w:r>
          </w:p>
        </w:tc>
        <w:tc>
          <w:tcPr>
            <w:tcW w:w="5528" w:type="dxa"/>
            <w:shd w:val="clear" w:color="auto" w:fill="E2EFD9" w:themeFill="accent6" w:themeFillTint="33"/>
          </w:tcPr>
          <w:p w14:paraId="3A35C346" w14:textId="18F92734" w:rsidR="00B27178" w:rsidRPr="00115178" w:rsidRDefault="00B733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Purchase testing for restricted products</w:t>
            </w:r>
            <w:r w:rsidR="0055636B">
              <w:rPr>
                <w:sz w:val="20"/>
                <w:szCs w:val="20"/>
              </w:rPr>
              <w:t xml:space="preserve"> such as knives</w:t>
            </w:r>
            <w:r>
              <w:rPr>
                <w:sz w:val="20"/>
                <w:szCs w:val="20"/>
              </w:rPr>
              <w:t xml:space="preserve"> </w:t>
            </w:r>
          </w:p>
        </w:tc>
      </w:tr>
      <w:tr w:rsidR="00B733BC" w14:paraId="4072498B" w14:textId="77777777" w:rsidTr="0055636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555" w:type="dxa"/>
            <w:vMerge/>
          </w:tcPr>
          <w:p w14:paraId="268AD28E" w14:textId="77777777" w:rsidR="00B733BC" w:rsidRPr="00115178" w:rsidRDefault="00B733BC">
            <w:pPr>
              <w:rPr>
                <w:sz w:val="20"/>
                <w:szCs w:val="20"/>
              </w:rPr>
            </w:pPr>
          </w:p>
        </w:tc>
        <w:tc>
          <w:tcPr>
            <w:tcW w:w="2126" w:type="dxa"/>
          </w:tcPr>
          <w:p w14:paraId="36BC6116" w14:textId="371AB1B3" w:rsidR="00B733BC" w:rsidRPr="00115178" w:rsidRDefault="00B733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Licensed Premise (n=1) </w:t>
            </w:r>
          </w:p>
        </w:tc>
        <w:tc>
          <w:tcPr>
            <w:tcW w:w="5528" w:type="dxa"/>
          </w:tcPr>
          <w:p w14:paraId="73E5581D" w14:textId="6512F584" w:rsidR="00B733BC" w:rsidRPr="00115178" w:rsidRDefault="00B733BC" w:rsidP="00C74A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License </w:t>
            </w:r>
            <w:r w:rsidR="00C74A7E">
              <w:rPr>
                <w:sz w:val="20"/>
                <w:szCs w:val="20"/>
              </w:rPr>
              <w:t>re</w:t>
            </w:r>
            <w:r>
              <w:rPr>
                <w:sz w:val="20"/>
                <w:szCs w:val="20"/>
              </w:rPr>
              <w:t>vocation</w:t>
            </w:r>
            <w:r w:rsidR="00C74A7E">
              <w:rPr>
                <w:sz w:val="20"/>
                <w:szCs w:val="20"/>
              </w:rPr>
              <w:t xml:space="preserve"> for ‘high incident’ premises</w:t>
            </w:r>
          </w:p>
        </w:tc>
      </w:tr>
      <w:tr w:rsidR="00B733BC" w14:paraId="71459084" w14:textId="77777777" w:rsidTr="0055636B">
        <w:trPr>
          <w:trHeight w:val="8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E2EFD9" w:themeFill="accent6" w:themeFillTint="33"/>
          </w:tcPr>
          <w:p w14:paraId="7B7C40D2" w14:textId="77777777" w:rsidR="00B733BC" w:rsidRPr="00115178" w:rsidRDefault="00B733BC">
            <w:pPr>
              <w:rPr>
                <w:sz w:val="20"/>
                <w:szCs w:val="20"/>
              </w:rPr>
            </w:pPr>
          </w:p>
        </w:tc>
        <w:tc>
          <w:tcPr>
            <w:tcW w:w="2126" w:type="dxa"/>
            <w:shd w:val="clear" w:color="auto" w:fill="E2EFD9" w:themeFill="accent6" w:themeFillTint="33"/>
          </w:tcPr>
          <w:p w14:paraId="68CFA4A2" w14:textId="70CECC1A" w:rsidR="00B733BC" w:rsidRPr="00115178" w:rsidRDefault="00B733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Other agencies (n=1)</w:t>
            </w:r>
          </w:p>
        </w:tc>
        <w:tc>
          <w:tcPr>
            <w:tcW w:w="5528" w:type="dxa"/>
            <w:shd w:val="clear" w:color="auto" w:fill="E2EFD9" w:themeFill="accent6" w:themeFillTint="33"/>
          </w:tcPr>
          <w:p w14:paraId="00EBCDDF" w14:textId="121C71C2" w:rsidR="00B733BC" w:rsidRPr="00115178" w:rsidRDefault="0055636B" w:rsidP="005563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Family/carer/p</w:t>
            </w:r>
            <w:r w:rsidR="00B733BC">
              <w:rPr>
                <w:sz w:val="20"/>
                <w:szCs w:val="20"/>
              </w:rPr>
              <w:t xml:space="preserve">arenting </w:t>
            </w:r>
            <w:r w:rsidR="005B1E48">
              <w:rPr>
                <w:sz w:val="20"/>
                <w:szCs w:val="20"/>
              </w:rPr>
              <w:t>p</w:t>
            </w:r>
            <w:r w:rsidR="00B733BC">
              <w:rPr>
                <w:sz w:val="20"/>
                <w:szCs w:val="20"/>
              </w:rPr>
              <w:t xml:space="preserve">rogrammes </w:t>
            </w:r>
          </w:p>
        </w:tc>
      </w:tr>
    </w:tbl>
    <w:p w14:paraId="48BA45C4" w14:textId="77777777" w:rsidR="00313F46" w:rsidRDefault="00313F46"/>
    <w:p w14:paraId="60C3B143" w14:textId="77777777" w:rsidR="00541EEE" w:rsidRDefault="00541EEE" w:rsidP="006C6AC7">
      <w:pPr>
        <w:jc w:val="both"/>
        <w:sectPr w:rsidR="00541EEE" w:rsidSect="00541EEE">
          <w:type w:val="continuous"/>
          <w:pgSz w:w="11906" w:h="16838"/>
          <w:pgMar w:top="1440" w:right="1440" w:bottom="1440" w:left="1440" w:header="708" w:footer="708" w:gutter="0"/>
          <w:cols w:space="708"/>
          <w:docGrid w:linePitch="360"/>
        </w:sectPr>
      </w:pPr>
    </w:p>
    <w:p w14:paraId="58FDCECE" w14:textId="6B4078D1" w:rsidR="00A26C6A" w:rsidRPr="00674684" w:rsidRDefault="006C6AC7" w:rsidP="006C6AC7">
      <w:pPr>
        <w:jc w:val="both"/>
      </w:pPr>
      <w:r>
        <w:lastRenderedPageBreak/>
        <w:t xml:space="preserve">As can be observed above, a </w:t>
      </w:r>
      <w:r w:rsidR="00C37DA4">
        <w:t>wide variety of interventions are</w:t>
      </w:r>
      <w:r>
        <w:t xml:space="preserve"> being implemented with </w:t>
      </w:r>
      <w:r w:rsidR="00E71BDE">
        <w:t>the majority</w:t>
      </w:r>
      <w:r w:rsidR="00674684">
        <w:t xml:space="preserve"> focused on people</w:t>
      </w:r>
      <w:r w:rsidR="0055636B">
        <w:t xml:space="preserve"> currently involved in crime (38</w:t>
      </w:r>
      <w:r w:rsidR="00674684">
        <w:t>%</w:t>
      </w:r>
      <w:r w:rsidR="00C37DA4">
        <w:t xml:space="preserve">: </w:t>
      </w:r>
      <w:r w:rsidR="0055636B">
        <w:t>n=18</w:t>
      </w:r>
      <w:r w:rsidR="00674684">
        <w:t xml:space="preserve">) or </w:t>
      </w:r>
      <w:r w:rsidR="003C1B01">
        <w:t>those</w:t>
      </w:r>
      <w:r w:rsidR="00674684">
        <w:t xml:space="preserve"> thought to be at hig</w:t>
      </w:r>
      <w:r w:rsidR="0055636B">
        <w:t>h risk of future involvement (30</w:t>
      </w:r>
      <w:r w:rsidR="00674684">
        <w:t>%</w:t>
      </w:r>
      <w:r w:rsidR="00C37DA4">
        <w:t>: n=14</w:t>
      </w:r>
      <w:r w:rsidR="00674684">
        <w:t xml:space="preserve">). </w:t>
      </w:r>
      <w:r>
        <w:t xml:space="preserve">  </w:t>
      </w:r>
      <w:r w:rsidRPr="006C6AC7">
        <w:t>The data</w:t>
      </w:r>
      <w:r w:rsidR="00674684">
        <w:t xml:space="preserve"> do</w:t>
      </w:r>
      <w:r w:rsidR="005B1E48">
        <w:t xml:space="preserve"> </w:t>
      </w:r>
      <w:r w:rsidR="00674684">
        <w:t>however,</w:t>
      </w:r>
      <w:r w:rsidRPr="006C6AC7">
        <w:t xml:space="preserve"> point to some slight differences between VRU and non-VRU areas.</w:t>
      </w:r>
      <w:r w:rsidR="00E96673" w:rsidRPr="006C6AC7">
        <w:t xml:space="preserve"> </w:t>
      </w:r>
      <w:r>
        <w:t xml:space="preserve">While the majority of the recorded interventions (63%: </w:t>
      </w:r>
      <w:r w:rsidR="00E96673" w:rsidRPr="006C6AC7">
        <w:t xml:space="preserve">n=29) </w:t>
      </w:r>
      <w:r w:rsidR="009C4A57">
        <w:t>a</w:t>
      </w:r>
      <w:r>
        <w:t>re in the two VRU areas, th</w:t>
      </w:r>
      <w:r w:rsidR="009C4A57">
        <w:t>ese areas a</w:t>
      </w:r>
      <w:r>
        <w:t xml:space="preserve">re also implementing </w:t>
      </w:r>
      <w:r w:rsidR="002670D1" w:rsidRPr="006C6AC7">
        <w:t xml:space="preserve">a greater number of interventions that move away from a focus on known offenders to more </w:t>
      </w:r>
      <w:r w:rsidR="002670D1" w:rsidRPr="00477FBB">
        <w:rPr>
          <w:i/>
        </w:rPr>
        <w:t>at risk</w:t>
      </w:r>
      <w:r w:rsidR="002670D1" w:rsidRPr="006C6AC7">
        <w:t xml:space="preserve"> and </w:t>
      </w:r>
      <w:r w:rsidR="002670D1" w:rsidRPr="00477FBB">
        <w:rPr>
          <w:i/>
        </w:rPr>
        <w:t xml:space="preserve">universal </w:t>
      </w:r>
      <w:r w:rsidR="002670D1" w:rsidRPr="006C6AC7">
        <w:t xml:space="preserve">groups. </w:t>
      </w:r>
      <w:r>
        <w:t xml:space="preserve">A total of </w:t>
      </w:r>
      <w:r w:rsidR="002670D1" w:rsidRPr="006C6AC7">
        <w:t>27% of inte</w:t>
      </w:r>
      <w:r w:rsidR="00477FBB">
        <w:t>rventions in VRU areas focused o</w:t>
      </w:r>
      <w:r w:rsidR="002670D1" w:rsidRPr="006C6AC7">
        <w:t xml:space="preserve">n known offenders (as compared to 53% in </w:t>
      </w:r>
      <w:r w:rsidR="00477FBB">
        <w:t>non-VRU</w:t>
      </w:r>
      <w:r w:rsidR="002670D1" w:rsidRPr="006C6AC7">
        <w:t xml:space="preserve"> areas). </w:t>
      </w:r>
      <w:r>
        <w:t>However, o</w:t>
      </w:r>
      <w:r w:rsidR="002670D1" w:rsidRPr="006C6AC7">
        <w:t>ver two-thirds of interventions in VRUs focused on at-risk or universal groups (compared to 35% in non-VRU areas). This may be a result of there being more fund</w:t>
      </w:r>
      <w:r w:rsidR="00C37DA4">
        <w:t>ing available to support</w:t>
      </w:r>
      <w:r w:rsidR="002670D1" w:rsidRPr="006C6AC7">
        <w:t xml:space="preserve"> such long-term approaches</w:t>
      </w:r>
      <w:r w:rsidR="00C37DA4">
        <w:t xml:space="preserve"> in these locations</w:t>
      </w:r>
      <w:r w:rsidR="00674684">
        <w:t>.</w:t>
      </w:r>
      <w:r w:rsidR="00B204E8" w:rsidRPr="00B204E8">
        <w:rPr>
          <w:color w:val="C45911" w:themeColor="accent2" w:themeShade="BF"/>
        </w:rPr>
        <w:t xml:space="preserve"> </w:t>
      </w:r>
    </w:p>
    <w:p w14:paraId="4D20220A" w14:textId="77777777" w:rsidR="00541EEE" w:rsidRDefault="00B83D2D" w:rsidP="00541EEE">
      <w:pPr>
        <w:spacing w:after="0"/>
        <w:rPr>
          <w:b/>
          <w:color w:val="2E74B5" w:themeColor="accent1" w:themeShade="BF"/>
          <w:sz w:val="24"/>
          <w:szCs w:val="24"/>
        </w:rPr>
      </w:pPr>
      <w:r w:rsidRPr="007C5697">
        <w:rPr>
          <w:b/>
          <w:color w:val="2E74B5" w:themeColor="accent1" w:themeShade="BF"/>
          <w:sz w:val="24"/>
          <w:szCs w:val="24"/>
        </w:rPr>
        <w:t xml:space="preserve">How interventions </w:t>
      </w:r>
      <w:r w:rsidR="000D175E" w:rsidRPr="007C5697">
        <w:rPr>
          <w:b/>
          <w:color w:val="2E74B5" w:themeColor="accent1" w:themeShade="BF"/>
          <w:sz w:val="24"/>
          <w:szCs w:val="24"/>
        </w:rPr>
        <w:t xml:space="preserve">are </w:t>
      </w:r>
      <w:r w:rsidRPr="007C5697">
        <w:rPr>
          <w:b/>
          <w:color w:val="2E74B5" w:themeColor="accent1" w:themeShade="BF"/>
          <w:sz w:val="24"/>
          <w:szCs w:val="24"/>
        </w:rPr>
        <w:t>inte</w:t>
      </w:r>
      <w:r w:rsidR="00541EEE">
        <w:rPr>
          <w:b/>
          <w:color w:val="2E74B5" w:themeColor="accent1" w:themeShade="BF"/>
          <w:sz w:val="24"/>
          <w:szCs w:val="24"/>
        </w:rPr>
        <w:t xml:space="preserve">nded to work: Theory of change </w:t>
      </w:r>
    </w:p>
    <w:p w14:paraId="49682030" w14:textId="77777777" w:rsidR="00AD5C75" w:rsidRDefault="00AD5C75" w:rsidP="00541EEE">
      <w:pPr>
        <w:spacing w:after="0"/>
        <w:rPr>
          <w:b/>
          <w:color w:val="2E74B5" w:themeColor="accent1" w:themeShade="BF"/>
          <w:sz w:val="24"/>
          <w:szCs w:val="24"/>
        </w:rPr>
      </w:pPr>
    </w:p>
    <w:p w14:paraId="30356E44" w14:textId="58731A6A" w:rsidR="000D010E" w:rsidRPr="00541EEE" w:rsidRDefault="009D7EBB" w:rsidP="00477FBB">
      <w:pPr>
        <w:spacing w:after="0"/>
        <w:jc w:val="both"/>
        <w:rPr>
          <w:b/>
          <w:color w:val="2E74B5" w:themeColor="accent1" w:themeShade="BF"/>
          <w:sz w:val="24"/>
          <w:szCs w:val="24"/>
        </w:rPr>
      </w:pPr>
      <w:r>
        <w:t>It goes without saying that t</w:t>
      </w:r>
      <w:r w:rsidR="00A76BBE" w:rsidRPr="00104E73">
        <w:t xml:space="preserve">he reason for implementing any intervention </w:t>
      </w:r>
      <w:r w:rsidR="00530A30" w:rsidRPr="00104E73">
        <w:t xml:space="preserve">is </w:t>
      </w:r>
      <w:r w:rsidR="00A76BBE" w:rsidRPr="00104E73">
        <w:t xml:space="preserve">to affect change of some sort.  </w:t>
      </w:r>
      <w:r w:rsidR="009C4A57">
        <w:t xml:space="preserve">In the recent VRU impact evaluation feasibility study, </w:t>
      </w:r>
      <w:r w:rsidR="00530A30" w:rsidRPr="00104E73">
        <w:t>M</w:t>
      </w:r>
      <w:r w:rsidR="002C0114" w:rsidRPr="00104E73">
        <w:t>a</w:t>
      </w:r>
      <w:r w:rsidR="00530A30" w:rsidRPr="00104E73">
        <w:t>cL</w:t>
      </w:r>
      <w:r w:rsidR="002C0114" w:rsidRPr="00104E73">
        <w:t xml:space="preserve">eod </w:t>
      </w:r>
      <w:r w:rsidR="002C0114" w:rsidRPr="002A5358">
        <w:rPr>
          <w:i/>
        </w:rPr>
        <w:t>e</w:t>
      </w:r>
      <w:r w:rsidR="00530A30" w:rsidRPr="002A5358">
        <w:rPr>
          <w:i/>
        </w:rPr>
        <w:t>t al</w:t>
      </w:r>
      <w:r w:rsidR="005B1E48">
        <w:rPr>
          <w:i/>
        </w:rPr>
        <w:t>.</w:t>
      </w:r>
      <w:r w:rsidR="00530A30" w:rsidRPr="00104E73">
        <w:t xml:space="preserve"> (2020) outline a programme-level theory of change </w:t>
      </w:r>
      <w:r w:rsidR="009C4A57">
        <w:t>t</w:t>
      </w:r>
      <w:r w:rsidR="002C0114" w:rsidRPr="00104E73">
        <w:t>hat consider</w:t>
      </w:r>
      <w:r w:rsidR="009C4A57">
        <w:t>s</w:t>
      </w:r>
      <w:r w:rsidR="002C0114" w:rsidRPr="00104E73">
        <w:t xml:space="preserve"> how </w:t>
      </w:r>
      <w:r w:rsidR="002C0114" w:rsidRPr="00104E73">
        <w:rPr>
          <w:i/>
        </w:rPr>
        <w:t>inputs</w:t>
      </w:r>
      <w:r w:rsidR="002C0114" w:rsidRPr="00104E73">
        <w:t xml:space="preserve"> and </w:t>
      </w:r>
      <w:r w:rsidR="002C0114" w:rsidRPr="00104E73">
        <w:rPr>
          <w:i/>
        </w:rPr>
        <w:t>activities</w:t>
      </w:r>
      <w:r w:rsidR="002C0114" w:rsidRPr="00104E73">
        <w:t xml:space="preserve"> can produce </w:t>
      </w:r>
      <w:r w:rsidR="002C0114" w:rsidRPr="00104E73">
        <w:rPr>
          <w:i/>
        </w:rPr>
        <w:t>outputs</w:t>
      </w:r>
      <w:r w:rsidR="002C0114" w:rsidRPr="00104E73">
        <w:t xml:space="preserve"> that should then lay the foundations for positive </w:t>
      </w:r>
      <w:r w:rsidR="002C0114" w:rsidRPr="00104E73">
        <w:rPr>
          <w:i/>
        </w:rPr>
        <w:t>outcomes</w:t>
      </w:r>
      <w:r w:rsidR="002C0114" w:rsidRPr="00104E73">
        <w:t xml:space="preserve"> and </w:t>
      </w:r>
      <w:r w:rsidR="002C0114" w:rsidRPr="00104E73">
        <w:rPr>
          <w:i/>
        </w:rPr>
        <w:t>impacts</w:t>
      </w:r>
      <w:r w:rsidR="002C0114" w:rsidRPr="00104E73">
        <w:t xml:space="preserve">. </w:t>
      </w:r>
      <w:r w:rsidR="009C4A57">
        <w:t>However, o</w:t>
      </w:r>
      <w:r w:rsidR="00FA258E">
        <w:t xml:space="preserve">thers note how intervention level theory of change is also required to begin to </w:t>
      </w:r>
      <w:r w:rsidR="00FA258E" w:rsidRPr="009E63FE">
        <w:t xml:space="preserve">tease out </w:t>
      </w:r>
      <w:r w:rsidR="00DF2D79">
        <w:t>‘</w:t>
      </w:r>
      <w:r w:rsidR="00DF2D79" w:rsidRPr="009E63FE">
        <w:t xml:space="preserve">why’ </w:t>
      </w:r>
      <w:r w:rsidR="00DF2D79">
        <w:t xml:space="preserve">and </w:t>
      </w:r>
      <w:r w:rsidR="00FA258E" w:rsidRPr="009E63FE">
        <w:t>‘how</w:t>
      </w:r>
      <w:r w:rsidR="009C4A57">
        <w:t>’</w:t>
      </w:r>
      <w:r w:rsidR="00FA258E" w:rsidRPr="009E63FE">
        <w:t xml:space="preserve"> </w:t>
      </w:r>
      <w:r w:rsidR="00FA258E" w:rsidRPr="009E63FE">
        <w:t>interventions are though</w:t>
      </w:r>
      <w:r w:rsidR="003C1B01">
        <w:t>t</w:t>
      </w:r>
      <w:r w:rsidR="00FA258E" w:rsidRPr="009E63FE">
        <w:t xml:space="preserve"> to result in change (</w:t>
      </w:r>
      <w:proofErr w:type="spellStart"/>
      <w:r w:rsidR="00FA258E" w:rsidRPr="009E63FE">
        <w:t>Quigg</w:t>
      </w:r>
      <w:proofErr w:type="spellEnd"/>
      <w:r w:rsidR="00FA258E" w:rsidRPr="009E63FE">
        <w:t xml:space="preserve"> </w:t>
      </w:r>
      <w:r w:rsidR="00FA258E" w:rsidRPr="002A5358">
        <w:rPr>
          <w:i/>
        </w:rPr>
        <w:t>et al</w:t>
      </w:r>
      <w:r w:rsidR="005B1E48">
        <w:rPr>
          <w:i/>
        </w:rPr>
        <w:t>.</w:t>
      </w:r>
      <w:r w:rsidR="00FA258E" w:rsidRPr="009E63FE">
        <w:t>, 2020</w:t>
      </w:r>
      <w:r w:rsidR="005B1E48">
        <w:t xml:space="preserve">, p. </w:t>
      </w:r>
      <w:r w:rsidR="00FA258E" w:rsidRPr="009E63FE">
        <w:t xml:space="preserve">10) </w:t>
      </w:r>
      <w:r w:rsidR="009E63FE" w:rsidRPr="009E63FE">
        <w:t xml:space="preserve">Our analysis </w:t>
      </w:r>
      <w:r w:rsidR="00161E41" w:rsidRPr="009E63FE">
        <w:t>consider</w:t>
      </w:r>
      <w:r w:rsidR="009E63FE" w:rsidRPr="009E63FE">
        <w:t>s</w:t>
      </w:r>
      <w:r w:rsidR="002C0114" w:rsidRPr="009E63FE">
        <w:t xml:space="preserve"> </w:t>
      </w:r>
      <w:r w:rsidR="002C0114" w:rsidRPr="009E63FE">
        <w:rPr>
          <w:i/>
        </w:rPr>
        <w:t>inte</w:t>
      </w:r>
      <w:r w:rsidR="00E71BDE" w:rsidRPr="009E63FE">
        <w:rPr>
          <w:i/>
        </w:rPr>
        <w:t>rvention-level</w:t>
      </w:r>
      <w:r w:rsidR="00E71BDE" w:rsidRPr="009E63FE">
        <w:t xml:space="preserve"> theory of change</w:t>
      </w:r>
      <w:r w:rsidR="00C37DA4" w:rsidRPr="009E63FE">
        <w:t xml:space="preserve"> across the region</w:t>
      </w:r>
      <w:r w:rsidR="00E71BDE" w:rsidRPr="009E63FE">
        <w:t>.</w:t>
      </w:r>
      <w:r w:rsidR="00E71BDE" w:rsidRPr="00104E73">
        <w:t xml:space="preserve"> In Table 2</w:t>
      </w:r>
      <w:r w:rsidR="00161E41" w:rsidRPr="00104E73">
        <w:t xml:space="preserve"> </w:t>
      </w:r>
      <w:r w:rsidR="00E71BDE" w:rsidRPr="00104E73">
        <w:t xml:space="preserve">an overview of </w:t>
      </w:r>
      <w:r w:rsidR="00C37DA4">
        <w:t>‘theory of change’ relating to the</w:t>
      </w:r>
      <w:r w:rsidR="00DF2D79">
        <w:t xml:space="preserve"> 47</w:t>
      </w:r>
      <w:r w:rsidR="00E71BDE" w:rsidRPr="00104E73">
        <w:t xml:space="preserve"> identified interventions </w:t>
      </w:r>
      <w:r w:rsidR="00DF2D79">
        <w:t xml:space="preserve">is </w:t>
      </w:r>
      <w:r w:rsidR="00E71BDE" w:rsidRPr="00104E73">
        <w:t xml:space="preserve">outlined by considering </w:t>
      </w:r>
      <w:r w:rsidR="00161E41" w:rsidRPr="00104E73">
        <w:t xml:space="preserve">(1) </w:t>
      </w:r>
      <w:r w:rsidR="00E71BDE" w:rsidRPr="00104E73">
        <w:t>the intervention point (place</w:t>
      </w:r>
      <w:r w:rsidR="00C37DA4">
        <w:t xml:space="preserve"> or point in the </w:t>
      </w:r>
      <w:r w:rsidR="003C1B01">
        <w:t xml:space="preserve">target </w:t>
      </w:r>
      <w:r w:rsidR="00DF2D79">
        <w:t>recipient’s</w:t>
      </w:r>
      <w:r w:rsidR="00C37DA4">
        <w:t xml:space="preserve"> life</w:t>
      </w:r>
      <w:r w:rsidR="00477FBB">
        <w:t xml:space="preserve"> when</w:t>
      </w:r>
      <w:r w:rsidR="00E71BDE" w:rsidRPr="00104E73">
        <w:t xml:space="preserve"> the intervention is implemented) and (2) </w:t>
      </w:r>
      <w:r w:rsidR="00161E41" w:rsidRPr="00104E73">
        <w:t xml:space="preserve">how the interventions </w:t>
      </w:r>
      <w:r w:rsidR="00C37DA4">
        <w:t>are intended to generate change</w:t>
      </w:r>
      <w:r w:rsidR="00E71BDE" w:rsidRPr="00104E73">
        <w:t xml:space="preserve">. </w:t>
      </w:r>
    </w:p>
    <w:p w14:paraId="3AA7A7C1" w14:textId="77777777" w:rsidR="00AD5C75" w:rsidRDefault="00AD5C75" w:rsidP="00513D6C">
      <w:pPr>
        <w:jc w:val="both"/>
      </w:pPr>
    </w:p>
    <w:p w14:paraId="4966F442" w14:textId="52C928A7" w:rsidR="00513D6C" w:rsidRPr="00061D7A" w:rsidRDefault="00513D6C" w:rsidP="00513D6C">
      <w:pPr>
        <w:jc w:val="both"/>
      </w:pPr>
      <w:r w:rsidRPr="00061D7A">
        <w:t xml:space="preserve">What can be observed is that there are a </w:t>
      </w:r>
      <w:r>
        <w:t>number</w:t>
      </w:r>
      <w:r w:rsidRPr="00061D7A">
        <w:t xml:space="preserve"> of theories of change associated with the interventions. These range from </w:t>
      </w:r>
      <w:r>
        <w:t xml:space="preserve">theories based on reactive forms of policing (such as using traditional policing methods to arrest offenders) to those that are more proactive and aim to facilitate change in people and their risk/protective factors (such as educational and parenting programmes). In line with the public health model (Christmas &amp; Srivastava, 2019; Grimshaw &amp; Ford, 2018), many of the observed interventions aim to facilitate change in individuals or their circumstances through addressing risk/protective factors at different points in their lives. For example, a range of primary preventative interventions (i.e. pre-offending early school interventions) are observed; secondary preventative interventions (interventions building </w:t>
      </w:r>
      <w:r w:rsidR="00AD5C75">
        <w:t xml:space="preserve">support/ </w:t>
      </w:r>
      <w:r>
        <w:t xml:space="preserve">protective factors when young people are at risk of offending) and tertiary measures (such as ‘though the gate’ programmes to promote desistance). </w:t>
      </w:r>
    </w:p>
    <w:p w14:paraId="3B39312D" w14:textId="77777777" w:rsidR="00541EEE" w:rsidRDefault="00541EEE" w:rsidP="00477FBB">
      <w:pPr>
        <w:jc w:val="both"/>
        <w:rPr>
          <w:b/>
        </w:rPr>
        <w:sectPr w:rsidR="00541EEE" w:rsidSect="00541EEE">
          <w:type w:val="continuous"/>
          <w:pgSz w:w="11906" w:h="16838"/>
          <w:pgMar w:top="1440" w:right="1440" w:bottom="1440" w:left="1440" w:header="708" w:footer="708" w:gutter="0"/>
          <w:cols w:num="2" w:space="708"/>
          <w:docGrid w:linePitch="360"/>
        </w:sectPr>
      </w:pPr>
    </w:p>
    <w:p w14:paraId="197B78E0" w14:textId="77777777" w:rsidR="00541EEE" w:rsidRDefault="00541EEE" w:rsidP="00477FBB">
      <w:pPr>
        <w:jc w:val="both"/>
        <w:rPr>
          <w:b/>
        </w:rPr>
      </w:pPr>
    </w:p>
    <w:p w14:paraId="00D5935B" w14:textId="77777777" w:rsidR="00513D6C" w:rsidRDefault="00513D6C" w:rsidP="00B9572E">
      <w:pPr>
        <w:spacing w:after="0"/>
        <w:rPr>
          <w:b/>
        </w:rPr>
      </w:pPr>
    </w:p>
    <w:p w14:paraId="1C82ACD4" w14:textId="77777777" w:rsidR="00513D6C" w:rsidRDefault="00513D6C" w:rsidP="00B9572E">
      <w:pPr>
        <w:spacing w:after="0"/>
        <w:rPr>
          <w:b/>
        </w:rPr>
      </w:pPr>
    </w:p>
    <w:p w14:paraId="5C2CFF48" w14:textId="77777777" w:rsidR="00513D6C" w:rsidRDefault="00513D6C" w:rsidP="00B9572E">
      <w:pPr>
        <w:spacing w:after="0"/>
        <w:rPr>
          <w:b/>
        </w:rPr>
      </w:pPr>
    </w:p>
    <w:p w14:paraId="454A5053" w14:textId="77777777" w:rsidR="00513D6C" w:rsidRDefault="00513D6C" w:rsidP="00B9572E">
      <w:pPr>
        <w:spacing w:after="0"/>
        <w:rPr>
          <w:b/>
        </w:rPr>
      </w:pPr>
    </w:p>
    <w:p w14:paraId="4EF8562B" w14:textId="77777777" w:rsidR="00513D6C" w:rsidRDefault="00513D6C" w:rsidP="00B9572E">
      <w:pPr>
        <w:spacing w:after="0"/>
        <w:rPr>
          <w:b/>
        </w:rPr>
      </w:pPr>
    </w:p>
    <w:p w14:paraId="280E9D8B" w14:textId="77777777" w:rsidR="00513D6C" w:rsidRDefault="00513D6C" w:rsidP="00B9572E">
      <w:pPr>
        <w:spacing w:after="0"/>
        <w:rPr>
          <w:b/>
        </w:rPr>
      </w:pPr>
    </w:p>
    <w:p w14:paraId="53BEA2E1" w14:textId="77777777" w:rsidR="00513D6C" w:rsidRDefault="00513D6C" w:rsidP="00B9572E">
      <w:pPr>
        <w:spacing w:after="0"/>
        <w:rPr>
          <w:b/>
        </w:rPr>
      </w:pPr>
    </w:p>
    <w:p w14:paraId="537B7338" w14:textId="77777777" w:rsidR="00513D6C" w:rsidRDefault="00513D6C" w:rsidP="00B9572E">
      <w:pPr>
        <w:spacing w:after="0"/>
        <w:rPr>
          <w:b/>
        </w:rPr>
      </w:pPr>
    </w:p>
    <w:p w14:paraId="4200113F" w14:textId="77777777" w:rsidR="00513D6C" w:rsidRDefault="00513D6C" w:rsidP="00B9572E">
      <w:pPr>
        <w:spacing w:after="0"/>
        <w:rPr>
          <w:b/>
        </w:rPr>
      </w:pPr>
    </w:p>
    <w:p w14:paraId="17A278ED" w14:textId="77777777" w:rsidR="00513D6C" w:rsidRDefault="00513D6C" w:rsidP="00B9572E">
      <w:pPr>
        <w:spacing w:after="0"/>
        <w:rPr>
          <w:b/>
        </w:rPr>
      </w:pPr>
    </w:p>
    <w:p w14:paraId="4F05EA2C" w14:textId="77777777" w:rsidR="00513D6C" w:rsidRDefault="00513D6C" w:rsidP="00B9572E">
      <w:pPr>
        <w:spacing w:after="0"/>
        <w:rPr>
          <w:b/>
        </w:rPr>
      </w:pPr>
    </w:p>
    <w:p w14:paraId="6B9EC14E" w14:textId="094F1DDC" w:rsidR="000D010E" w:rsidRDefault="00530A30" w:rsidP="00B9572E">
      <w:pPr>
        <w:spacing w:after="0"/>
        <w:rPr>
          <w:b/>
        </w:rPr>
      </w:pPr>
      <w:r>
        <w:rPr>
          <w:b/>
        </w:rPr>
        <w:t xml:space="preserve">Table 2: </w:t>
      </w:r>
      <w:r w:rsidR="00E71BDE">
        <w:rPr>
          <w:b/>
        </w:rPr>
        <w:t>I</w:t>
      </w:r>
      <w:r w:rsidR="00A13BB9">
        <w:rPr>
          <w:b/>
        </w:rPr>
        <w:t>ntervention points</w:t>
      </w:r>
      <w:r>
        <w:rPr>
          <w:b/>
        </w:rPr>
        <w:t xml:space="preserve">, </w:t>
      </w:r>
      <w:r w:rsidR="000D010E">
        <w:rPr>
          <w:b/>
        </w:rPr>
        <w:t>interventions and theory</w:t>
      </w:r>
      <w:r>
        <w:rPr>
          <w:b/>
        </w:rPr>
        <w:t xml:space="preserve"> of change </w:t>
      </w:r>
    </w:p>
    <w:p w14:paraId="05BD924A" w14:textId="77777777" w:rsidR="00541EEE" w:rsidRDefault="00541EEE" w:rsidP="00B9572E">
      <w:pPr>
        <w:spacing w:after="0"/>
        <w:rPr>
          <w:b/>
          <w:bCs/>
          <w:color w:val="FFFFFF" w:themeColor="background1"/>
        </w:rPr>
        <w:sectPr w:rsidR="00541EEE" w:rsidSect="00541EEE">
          <w:type w:val="continuous"/>
          <w:pgSz w:w="11906" w:h="16838"/>
          <w:pgMar w:top="1440" w:right="1440" w:bottom="1440" w:left="1440" w:header="708" w:footer="708" w:gutter="0"/>
          <w:cols w:space="708"/>
          <w:docGrid w:linePitch="360"/>
        </w:sectPr>
      </w:pPr>
    </w:p>
    <w:p w14:paraId="21B435AA" w14:textId="77777777" w:rsidR="00541EEE" w:rsidRDefault="00541EEE" w:rsidP="00B9572E">
      <w:pPr>
        <w:spacing w:after="0"/>
        <w:rPr>
          <w:b/>
          <w:bCs/>
          <w:color w:val="FFFFFF" w:themeColor="background1"/>
        </w:rPr>
        <w:sectPr w:rsidR="00541EEE" w:rsidSect="00541EEE">
          <w:type w:val="continuous"/>
          <w:pgSz w:w="11906" w:h="16838"/>
          <w:pgMar w:top="1440" w:right="1440" w:bottom="1440" w:left="1440" w:header="708" w:footer="708" w:gutter="0"/>
          <w:cols w:space="708"/>
          <w:docGrid w:linePitch="360"/>
        </w:sectPr>
      </w:pPr>
    </w:p>
    <w:tbl>
      <w:tblPr>
        <w:tblStyle w:val="GridTable4-Accent6"/>
        <w:tblW w:w="0" w:type="auto"/>
        <w:tblLook w:val="04A0" w:firstRow="1" w:lastRow="0" w:firstColumn="1" w:lastColumn="0" w:noHBand="0" w:noVBand="1"/>
      </w:tblPr>
      <w:tblGrid>
        <w:gridCol w:w="1696"/>
        <w:gridCol w:w="7230"/>
      </w:tblGrid>
      <w:tr w:rsidR="00E71BDE" w14:paraId="137C5698" w14:textId="77777777" w:rsidTr="00DF2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EF4045D" w14:textId="1C20644A" w:rsidR="00E71BDE" w:rsidRPr="003A0AC6" w:rsidRDefault="00E71BDE" w:rsidP="00B9572E">
            <w:pPr>
              <w:rPr>
                <w:b w:val="0"/>
              </w:rPr>
            </w:pPr>
            <w:r w:rsidRPr="003A0AC6">
              <w:t>Intervention point</w:t>
            </w:r>
          </w:p>
        </w:tc>
        <w:tc>
          <w:tcPr>
            <w:tcW w:w="7230" w:type="dxa"/>
          </w:tcPr>
          <w:p w14:paraId="12581BFC" w14:textId="522A5372" w:rsidR="00E71BDE" w:rsidRPr="003A0AC6" w:rsidRDefault="00E71BDE" w:rsidP="00FE59D0">
            <w:pPr>
              <w:jc w:val="center"/>
              <w:cnfStyle w:val="100000000000" w:firstRow="1" w:lastRow="0" w:firstColumn="0" w:lastColumn="0" w:oddVBand="0" w:evenVBand="0" w:oddHBand="0" w:evenHBand="0" w:firstRowFirstColumn="0" w:firstRowLastColumn="0" w:lastRowFirstColumn="0" w:lastRowLastColumn="0"/>
              <w:rPr>
                <w:b w:val="0"/>
              </w:rPr>
            </w:pPr>
            <w:r w:rsidRPr="003A0AC6">
              <w:t>Theory/mechanism of change</w:t>
            </w:r>
          </w:p>
        </w:tc>
      </w:tr>
      <w:tr w:rsidR="00E71BDE" w14:paraId="4D3E0798" w14:textId="77777777" w:rsidTr="00DF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80B36A2" w14:textId="77777777" w:rsidR="00E71BDE" w:rsidRPr="00A13BB9" w:rsidRDefault="00E71BDE" w:rsidP="00B9572E">
            <w:pPr>
              <w:rPr>
                <w:sz w:val="20"/>
                <w:szCs w:val="20"/>
              </w:rPr>
            </w:pPr>
          </w:p>
          <w:p w14:paraId="413BC2F6" w14:textId="4C2CE2CB" w:rsidR="00E71BDE" w:rsidRPr="005E26AC" w:rsidRDefault="00E71BDE" w:rsidP="00FE59D0">
            <w:pPr>
              <w:shd w:val="clear" w:color="auto" w:fill="E2EFD9" w:themeFill="accent6" w:themeFillTint="33"/>
              <w:rPr>
                <w:b w:val="0"/>
                <w:sz w:val="20"/>
                <w:szCs w:val="20"/>
              </w:rPr>
            </w:pPr>
            <w:r w:rsidRPr="005E26AC">
              <w:rPr>
                <w:sz w:val="20"/>
                <w:szCs w:val="20"/>
              </w:rPr>
              <w:t>In school</w:t>
            </w:r>
          </w:p>
          <w:p w14:paraId="2412C4AF" w14:textId="77777777" w:rsidR="00E71BDE" w:rsidRPr="00A13BB9" w:rsidRDefault="00E71BDE" w:rsidP="00B9572E">
            <w:pPr>
              <w:rPr>
                <w:sz w:val="20"/>
                <w:szCs w:val="20"/>
              </w:rPr>
            </w:pPr>
          </w:p>
        </w:tc>
        <w:tc>
          <w:tcPr>
            <w:tcW w:w="7230" w:type="dxa"/>
          </w:tcPr>
          <w:p w14:paraId="7B59686E" w14:textId="3CD01AE6" w:rsidR="00B567F1" w:rsidRPr="00CF2B73" w:rsidRDefault="00CF2B73" w:rsidP="00B9572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DF2D79">
              <w:rPr>
                <w:b/>
                <w:i/>
                <w:sz w:val="20"/>
                <w:szCs w:val="20"/>
              </w:rPr>
              <w:t>Cultural change:</w:t>
            </w:r>
            <w:r>
              <w:rPr>
                <w:sz w:val="20"/>
                <w:szCs w:val="20"/>
              </w:rPr>
              <w:t xml:space="preserve"> </w:t>
            </w:r>
            <w:r w:rsidR="00B567F1" w:rsidRPr="00CF2B73">
              <w:rPr>
                <w:sz w:val="20"/>
                <w:szCs w:val="20"/>
              </w:rPr>
              <w:t>Approaches that c</w:t>
            </w:r>
            <w:r w:rsidR="00E71BDE" w:rsidRPr="00CF2B73">
              <w:rPr>
                <w:sz w:val="20"/>
                <w:szCs w:val="20"/>
              </w:rPr>
              <w:t>ha</w:t>
            </w:r>
            <w:r w:rsidR="00B567F1" w:rsidRPr="00CF2B73">
              <w:rPr>
                <w:sz w:val="20"/>
                <w:szCs w:val="20"/>
              </w:rPr>
              <w:t xml:space="preserve">llenge </w:t>
            </w:r>
            <w:r w:rsidR="00E71BDE" w:rsidRPr="00CF2B73">
              <w:rPr>
                <w:sz w:val="20"/>
                <w:szCs w:val="20"/>
              </w:rPr>
              <w:t xml:space="preserve">social norms/cultures </w:t>
            </w:r>
            <w:r w:rsidR="00B567F1" w:rsidRPr="00CF2B73">
              <w:rPr>
                <w:sz w:val="20"/>
                <w:szCs w:val="20"/>
              </w:rPr>
              <w:t xml:space="preserve">that accept violent behaviours </w:t>
            </w:r>
            <w:r w:rsidR="00E71BDE" w:rsidRPr="00CF2B73">
              <w:rPr>
                <w:sz w:val="20"/>
                <w:szCs w:val="20"/>
              </w:rPr>
              <w:t xml:space="preserve">and attitudes of young people </w:t>
            </w:r>
            <w:r w:rsidR="00B567F1" w:rsidRPr="00CF2B73">
              <w:rPr>
                <w:sz w:val="20"/>
                <w:szCs w:val="20"/>
              </w:rPr>
              <w:t xml:space="preserve">to make them less likely to engage in violence in future </w:t>
            </w:r>
            <w:r w:rsidR="00DF2D79">
              <w:rPr>
                <w:sz w:val="20"/>
                <w:szCs w:val="20"/>
              </w:rPr>
              <w:t xml:space="preserve">through </w:t>
            </w:r>
            <w:r w:rsidR="00B567F1" w:rsidRPr="00CF2B73">
              <w:rPr>
                <w:sz w:val="20"/>
                <w:szCs w:val="20"/>
              </w:rPr>
              <w:t xml:space="preserve">carefully targeted </w:t>
            </w:r>
            <w:r w:rsidR="00DF2D79">
              <w:rPr>
                <w:sz w:val="20"/>
                <w:szCs w:val="20"/>
              </w:rPr>
              <w:t>mentoring</w:t>
            </w:r>
            <w:r w:rsidR="00B567F1" w:rsidRPr="00CF2B73">
              <w:rPr>
                <w:sz w:val="20"/>
                <w:szCs w:val="20"/>
              </w:rPr>
              <w:t>.</w:t>
            </w:r>
          </w:p>
          <w:p w14:paraId="7F1041A4" w14:textId="4A30A821" w:rsidR="00B567F1" w:rsidRPr="00CF2B73" w:rsidRDefault="00CF2B73" w:rsidP="00B9572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DF2D79">
              <w:rPr>
                <w:b/>
                <w:i/>
                <w:sz w:val="20"/>
                <w:szCs w:val="20"/>
              </w:rPr>
              <w:t>Educational:</w:t>
            </w:r>
            <w:r>
              <w:rPr>
                <w:sz w:val="20"/>
                <w:szCs w:val="20"/>
              </w:rPr>
              <w:t xml:space="preserve"> </w:t>
            </w:r>
            <w:r w:rsidR="00B567F1" w:rsidRPr="00CF2B73">
              <w:rPr>
                <w:sz w:val="20"/>
                <w:szCs w:val="20"/>
              </w:rPr>
              <w:t xml:space="preserve">Approaches that educate about the dangers and risks and weapons carrying/use and forms of violent crime.  Such approaches highlight the physical risks and the dangerous of gang/criminal lifestyle.  </w:t>
            </w:r>
          </w:p>
        </w:tc>
      </w:tr>
      <w:tr w:rsidR="00E71BDE" w14:paraId="61E52D39" w14:textId="77777777" w:rsidTr="00DF2D79">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CB3369A" w14:textId="35C69913" w:rsidR="00E71BDE" w:rsidRPr="00A13BB9" w:rsidRDefault="00E71BDE" w:rsidP="005E26AC">
            <w:pPr>
              <w:rPr>
                <w:sz w:val="20"/>
                <w:szCs w:val="20"/>
              </w:rPr>
            </w:pPr>
          </w:p>
          <w:p w14:paraId="7242869D" w14:textId="71055AB6" w:rsidR="00E71BDE" w:rsidRPr="005E26AC" w:rsidRDefault="00E71BDE" w:rsidP="005E26AC">
            <w:pPr>
              <w:rPr>
                <w:b w:val="0"/>
                <w:sz w:val="20"/>
                <w:szCs w:val="20"/>
              </w:rPr>
            </w:pPr>
            <w:r w:rsidRPr="005E26AC">
              <w:rPr>
                <w:sz w:val="20"/>
                <w:szCs w:val="20"/>
              </w:rPr>
              <w:t>In early life/ stag</w:t>
            </w:r>
            <w:r w:rsidR="00D1423C">
              <w:rPr>
                <w:sz w:val="20"/>
                <w:szCs w:val="20"/>
              </w:rPr>
              <w:t>e of onset of offending</w:t>
            </w:r>
          </w:p>
          <w:p w14:paraId="7D33189D" w14:textId="77777777" w:rsidR="00E71BDE" w:rsidRPr="00A13BB9" w:rsidRDefault="00E71BDE" w:rsidP="005E26AC">
            <w:pPr>
              <w:rPr>
                <w:sz w:val="20"/>
                <w:szCs w:val="20"/>
              </w:rPr>
            </w:pPr>
          </w:p>
          <w:p w14:paraId="5FB630ED" w14:textId="77777777" w:rsidR="00E71BDE" w:rsidRPr="00A13BB9" w:rsidRDefault="00E71BDE" w:rsidP="005E26AC">
            <w:pPr>
              <w:rPr>
                <w:sz w:val="20"/>
                <w:szCs w:val="20"/>
              </w:rPr>
            </w:pPr>
          </w:p>
        </w:tc>
        <w:tc>
          <w:tcPr>
            <w:tcW w:w="7230" w:type="dxa"/>
          </w:tcPr>
          <w:p w14:paraId="4DC94B99" w14:textId="3AB64FE4" w:rsidR="00E71BDE" w:rsidRPr="00CF2B73" w:rsidRDefault="00DF2D79" w:rsidP="00CF2B7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DF2D79">
              <w:rPr>
                <w:b/>
                <w:i/>
                <w:sz w:val="20"/>
                <w:szCs w:val="20"/>
              </w:rPr>
              <w:t>Addressing problem</w:t>
            </w:r>
            <w:r w:rsidR="00D0506E">
              <w:rPr>
                <w:b/>
                <w:i/>
                <w:sz w:val="20"/>
                <w:szCs w:val="20"/>
              </w:rPr>
              <w:t>s</w:t>
            </w:r>
            <w:r w:rsidR="00CF2B73" w:rsidRPr="00DF2D79">
              <w:rPr>
                <w:b/>
                <w:i/>
                <w:sz w:val="20"/>
                <w:szCs w:val="20"/>
              </w:rPr>
              <w:t>/build</w:t>
            </w:r>
            <w:r w:rsidR="00D0506E">
              <w:rPr>
                <w:b/>
                <w:i/>
                <w:sz w:val="20"/>
                <w:szCs w:val="20"/>
              </w:rPr>
              <w:t>ing</w:t>
            </w:r>
            <w:r w:rsidR="00CF2B73" w:rsidRPr="00DF2D79">
              <w:rPr>
                <w:b/>
                <w:i/>
                <w:sz w:val="20"/>
                <w:szCs w:val="20"/>
              </w:rPr>
              <w:t xml:space="preserve"> </w:t>
            </w:r>
            <w:r w:rsidRPr="00DF2D79">
              <w:rPr>
                <w:b/>
                <w:i/>
                <w:sz w:val="20"/>
                <w:szCs w:val="20"/>
              </w:rPr>
              <w:t xml:space="preserve">supportive </w:t>
            </w:r>
            <w:r w:rsidR="00CF2B73" w:rsidRPr="00DF2D79">
              <w:rPr>
                <w:b/>
                <w:i/>
                <w:sz w:val="20"/>
                <w:szCs w:val="20"/>
              </w:rPr>
              <w:t>protective factors:</w:t>
            </w:r>
            <w:r w:rsidR="00CF2B73">
              <w:rPr>
                <w:sz w:val="20"/>
                <w:szCs w:val="20"/>
              </w:rPr>
              <w:t xml:space="preserve"> </w:t>
            </w:r>
            <w:r w:rsidR="00CF2B73" w:rsidRPr="00CF2B73">
              <w:rPr>
                <w:sz w:val="20"/>
                <w:szCs w:val="20"/>
              </w:rPr>
              <w:t xml:space="preserve">Interventions that build </w:t>
            </w:r>
            <w:r>
              <w:rPr>
                <w:sz w:val="20"/>
                <w:szCs w:val="20"/>
              </w:rPr>
              <w:t xml:space="preserve">supportive protective </w:t>
            </w:r>
            <w:r w:rsidR="00CF2B73" w:rsidRPr="00CF2B73">
              <w:rPr>
                <w:sz w:val="20"/>
                <w:szCs w:val="20"/>
              </w:rPr>
              <w:t>factors (education, behaviour, employment</w:t>
            </w:r>
            <w:r w:rsidR="00061D7A">
              <w:rPr>
                <w:sz w:val="20"/>
                <w:szCs w:val="20"/>
              </w:rPr>
              <w:t xml:space="preserve"> and</w:t>
            </w:r>
            <w:r w:rsidR="005E26AC">
              <w:rPr>
                <w:sz w:val="20"/>
                <w:szCs w:val="20"/>
              </w:rPr>
              <w:t xml:space="preserve"> </w:t>
            </w:r>
            <w:r w:rsidR="00F6038F">
              <w:rPr>
                <w:sz w:val="20"/>
                <w:szCs w:val="20"/>
              </w:rPr>
              <w:t>life skills</w:t>
            </w:r>
            <w:r w:rsidR="00CF2B73" w:rsidRPr="00CF2B73">
              <w:rPr>
                <w:sz w:val="20"/>
                <w:szCs w:val="20"/>
              </w:rPr>
              <w:t>) to increase likelihood of future educational</w:t>
            </w:r>
            <w:r w:rsidR="00CF2B73">
              <w:rPr>
                <w:sz w:val="20"/>
                <w:szCs w:val="20"/>
              </w:rPr>
              <w:t xml:space="preserve"> a</w:t>
            </w:r>
            <w:r w:rsidR="00CF2B73" w:rsidRPr="00CF2B73">
              <w:rPr>
                <w:sz w:val="20"/>
                <w:szCs w:val="20"/>
              </w:rPr>
              <w:t>n</w:t>
            </w:r>
            <w:r w:rsidR="00CF2B73">
              <w:rPr>
                <w:sz w:val="20"/>
                <w:szCs w:val="20"/>
              </w:rPr>
              <w:t>d</w:t>
            </w:r>
            <w:r w:rsidR="00CF2B73" w:rsidRPr="00CF2B73">
              <w:rPr>
                <w:sz w:val="20"/>
                <w:szCs w:val="20"/>
              </w:rPr>
              <w:t xml:space="preserve"> job prospects. </w:t>
            </w:r>
          </w:p>
          <w:p w14:paraId="20A268CC" w14:textId="16ABFF6B" w:rsidR="00E71BDE" w:rsidRPr="00CF2B73" w:rsidRDefault="00CF2B73" w:rsidP="00CF2B7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DF2D79">
              <w:rPr>
                <w:b/>
                <w:i/>
                <w:sz w:val="20"/>
                <w:szCs w:val="20"/>
              </w:rPr>
              <w:t>Parenting:</w:t>
            </w:r>
            <w:r w:rsidRPr="00DF2D79">
              <w:rPr>
                <w:i/>
                <w:sz w:val="20"/>
                <w:szCs w:val="20"/>
              </w:rPr>
              <w:t xml:space="preserve"> </w:t>
            </w:r>
            <w:r w:rsidR="00E71BDE" w:rsidRPr="00CF2B73">
              <w:rPr>
                <w:sz w:val="20"/>
                <w:szCs w:val="20"/>
              </w:rPr>
              <w:t xml:space="preserve">Programmes </w:t>
            </w:r>
            <w:r w:rsidRPr="00CF2B73">
              <w:rPr>
                <w:sz w:val="20"/>
                <w:szCs w:val="20"/>
              </w:rPr>
              <w:t xml:space="preserve">that enable parents to </w:t>
            </w:r>
            <w:r w:rsidR="00E71BDE" w:rsidRPr="00CF2B73">
              <w:rPr>
                <w:sz w:val="20"/>
                <w:szCs w:val="20"/>
              </w:rPr>
              <w:t>recognis</w:t>
            </w:r>
            <w:r w:rsidRPr="00CF2B73">
              <w:rPr>
                <w:sz w:val="20"/>
                <w:szCs w:val="20"/>
              </w:rPr>
              <w:t xml:space="preserve">e risk signs of youngsters becoming involved in gangs/knife crime/gang lines. Parents can then help to support and put a check on such activities.  </w:t>
            </w:r>
          </w:p>
          <w:p w14:paraId="6B7FE4B6" w14:textId="5A9B9031" w:rsidR="00E71BDE" w:rsidRPr="00CF2B73" w:rsidRDefault="00CF2B73" w:rsidP="00CF2B7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DF2D79">
              <w:rPr>
                <w:b/>
                <w:i/>
                <w:sz w:val="20"/>
                <w:szCs w:val="20"/>
              </w:rPr>
              <w:t>Educational:</w:t>
            </w:r>
            <w:r>
              <w:rPr>
                <w:sz w:val="20"/>
                <w:szCs w:val="20"/>
              </w:rPr>
              <w:t xml:space="preserve"> </w:t>
            </w:r>
            <w:r w:rsidR="00E71BDE" w:rsidRPr="00CF2B73">
              <w:rPr>
                <w:sz w:val="20"/>
                <w:szCs w:val="20"/>
              </w:rPr>
              <w:t xml:space="preserve">Social Media </w:t>
            </w:r>
            <w:r w:rsidRPr="00CF2B73">
              <w:rPr>
                <w:sz w:val="20"/>
                <w:szCs w:val="20"/>
              </w:rPr>
              <w:t>campaigns that highlight the risks o</w:t>
            </w:r>
            <w:r w:rsidR="00D0506E">
              <w:rPr>
                <w:sz w:val="20"/>
                <w:szCs w:val="20"/>
              </w:rPr>
              <w:t xml:space="preserve">f </w:t>
            </w:r>
            <w:r w:rsidRPr="00CF2B73">
              <w:rPr>
                <w:sz w:val="20"/>
                <w:szCs w:val="20"/>
              </w:rPr>
              <w:t>weapons carrying and gang violence</w:t>
            </w:r>
            <w:r w:rsidR="00DF2D79">
              <w:rPr>
                <w:sz w:val="20"/>
                <w:szCs w:val="20"/>
              </w:rPr>
              <w:t xml:space="preserve"> to a wide audience</w:t>
            </w:r>
            <w:r w:rsidRPr="00CF2B73">
              <w:rPr>
                <w:sz w:val="20"/>
                <w:szCs w:val="20"/>
              </w:rPr>
              <w:t xml:space="preserve">. </w:t>
            </w:r>
          </w:p>
        </w:tc>
      </w:tr>
      <w:tr w:rsidR="00E71BDE" w14:paraId="7637025F" w14:textId="77777777" w:rsidTr="00DF2D7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696" w:type="dxa"/>
          </w:tcPr>
          <w:p w14:paraId="3004BEAC" w14:textId="7575F791" w:rsidR="00E71BDE" w:rsidRPr="005E26AC" w:rsidRDefault="00D1423C" w:rsidP="00D1423C">
            <w:pPr>
              <w:rPr>
                <w:b w:val="0"/>
                <w:sz w:val="20"/>
                <w:szCs w:val="20"/>
              </w:rPr>
            </w:pPr>
            <w:r>
              <w:rPr>
                <w:sz w:val="20"/>
                <w:szCs w:val="20"/>
              </w:rPr>
              <w:t>Point of weapons purchase</w:t>
            </w:r>
          </w:p>
        </w:tc>
        <w:tc>
          <w:tcPr>
            <w:tcW w:w="7230" w:type="dxa"/>
          </w:tcPr>
          <w:p w14:paraId="41139397" w14:textId="1EB2A61D" w:rsidR="00E71BDE" w:rsidRPr="005E26AC" w:rsidRDefault="00CF2B73" w:rsidP="005E26A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DF2D79">
              <w:rPr>
                <w:b/>
                <w:i/>
                <w:sz w:val="20"/>
                <w:szCs w:val="20"/>
              </w:rPr>
              <w:t>Reduce opportunity to obtain weapons:</w:t>
            </w:r>
            <w:r w:rsidRPr="005E26AC">
              <w:rPr>
                <w:sz w:val="20"/>
                <w:szCs w:val="20"/>
              </w:rPr>
              <w:t xml:space="preserve"> Test purchasing in retailers to ensure that retailers are not selling restricted products to under 18’s. </w:t>
            </w:r>
            <w:r w:rsidR="00E71BDE" w:rsidRPr="005E26AC">
              <w:rPr>
                <w:sz w:val="20"/>
                <w:szCs w:val="20"/>
              </w:rPr>
              <w:t xml:space="preserve"> </w:t>
            </w:r>
          </w:p>
        </w:tc>
      </w:tr>
      <w:tr w:rsidR="00E71BDE" w14:paraId="3549E3AB" w14:textId="77777777" w:rsidTr="00DF2D79">
        <w:trPr>
          <w:trHeight w:val="736"/>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7630088" w14:textId="49A774D4" w:rsidR="00E71BDE" w:rsidRPr="005E26AC" w:rsidRDefault="00E71BDE" w:rsidP="00014B0D">
            <w:pPr>
              <w:rPr>
                <w:b w:val="0"/>
                <w:sz w:val="20"/>
                <w:szCs w:val="20"/>
              </w:rPr>
            </w:pPr>
            <w:r w:rsidRPr="005E26AC">
              <w:rPr>
                <w:sz w:val="20"/>
                <w:szCs w:val="20"/>
              </w:rPr>
              <w:t>Point of violent altercation</w:t>
            </w:r>
            <w:r w:rsidR="00D1423C">
              <w:rPr>
                <w:sz w:val="20"/>
                <w:szCs w:val="20"/>
              </w:rPr>
              <w:t>/ injury</w:t>
            </w:r>
            <w:r w:rsidRPr="005E26AC">
              <w:rPr>
                <w:sz w:val="20"/>
                <w:szCs w:val="20"/>
              </w:rPr>
              <w:t xml:space="preserve"> </w:t>
            </w:r>
          </w:p>
        </w:tc>
        <w:tc>
          <w:tcPr>
            <w:tcW w:w="7230" w:type="dxa"/>
          </w:tcPr>
          <w:p w14:paraId="6C182B5C" w14:textId="5E074451" w:rsidR="00E71BDE" w:rsidRPr="005E26AC" w:rsidRDefault="005E26AC" w:rsidP="00014B0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DF2D79">
              <w:rPr>
                <w:b/>
                <w:i/>
                <w:sz w:val="20"/>
                <w:szCs w:val="20"/>
              </w:rPr>
              <w:t>Reachable moments</w:t>
            </w:r>
            <w:r w:rsidR="00DF2D79" w:rsidRPr="00DF2D79">
              <w:rPr>
                <w:i/>
                <w:sz w:val="20"/>
                <w:szCs w:val="20"/>
              </w:rPr>
              <w:t>:</w:t>
            </w:r>
            <w:r w:rsidR="00DF2D79">
              <w:rPr>
                <w:sz w:val="20"/>
                <w:szCs w:val="20"/>
              </w:rPr>
              <w:t xml:space="preserve"> support</w:t>
            </w:r>
            <w:r w:rsidRPr="005E26AC">
              <w:rPr>
                <w:sz w:val="20"/>
                <w:szCs w:val="20"/>
              </w:rPr>
              <w:t xml:space="preserve"> to those accessing </w:t>
            </w:r>
            <w:r w:rsidR="00E71BDE" w:rsidRPr="005E26AC">
              <w:rPr>
                <w:sz w:val="20"/>
                <w:szCs w:val="20"/>
              </w:rPr>
              <w:t>A&amp;E</w:t>
            </w:r>
            <w:r w:rsidRPr="005E26AC">
              <w:rPr>
                <w:sz w:val="20"/>
                <w:szCs w:val="20"/>
              </w:rPr>
              <w:t xml:space="preserve"> with knife wounds as this is a ‘</w:t>
            </w:r>
            <w:r w:rsidR="00E71BDE" w:rsidRPr="005E26AC">
              <w:rPr>
                <w:sz w:val="20"/>
                <w:szCs w:val="20"/>
              </w:rPr>
              <w:t>reachable</w:t>
            </w:r>
            <w:r w:rsidRPr="005E26AC">
              <w:rPr>
                <w:sz w:val="20"/>
                <w:szCs w:val="20"/>
              </w:rPr>
              <w:t>’</w:t>
            </w:r>
            <w:r w:rsidR="00E71BDE" w:rsidRPr="005E26AC">
              <w:rPr>
                <w:sz w:val="20"/>
                <w:szCs w:val="20"/>
              </w:rPr>
              <w:t xml:space="preserve"> and </w:t>
            </w:r>
            <w:r w:rsidRPr="005E26AC">
              <w:rPr>
                <w:sz w:val="20"/>
                <w:szCs w:val="20"/>
              </w:rPr>
              <w:t>‘</w:t>
            </w:r>
            <w:r w:rsidR="00E71BDE" w:rsidRPr="005E26AC">
              <w:rPr>
                <w:sz w:val="20"/>
                <w:szCs w:val="20"/>
              </w:rPr>
              <w:t>teachable</w:t>
            </w:r>
            <w:r w:rsidRPr="005E26AC">
              <w:rPr>
                <w:sz w:val="20"/>
                <w:szCs w:val="20"/>
              </w:rPr>
              <w:t>’ moment that might act as a turning point</w:t>
            </w:r>
            <w:r w:rsidR="00DF2D79">
              <w:rPr>
                <w:sz w:val="20"/>
                <w:szCs w:val="20"/>
              </w:rPr>
              <w:t xml:space="preserve"> in their lives</w:t>
            </w:r>
            <w:r w:rsidRPr="005E26AC">
              <w:rPr>
                <w:sz w:val="20"/>
                <w:szCs w:val="20"/>
              </w:rPr>
              <w:t xml:space="preserve">. </w:t>
            </w:r>
            <w:r w:rsidR="00E71BDE" w:rsidRPr="005E26AC">
              <w:rPr>
                <w:sz w:val="20"/>
                <w:szCs w:val="20"/>
              </w:rPr>
              <w:t xml:space="preserve"> </w:t>
            </w:r>
          </w:p>
        </w:tc>
      </w:tr>
      <w:tr w:rsidR="00E71BDE" w14:paraId="1D5B75CD" w14:textId="77777777" w:rsidTr="00DF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F5CA241" w14:textId="0F17580D" w:rsidR="00E71BDE" w:rsidRPr="005E26AC" w:rsidRDefault="00104E73" w:rsidP="005E26AC">
            <w:pPr>
              <w:rPr>
                <w:b w:val="0"/>
                <w:sz w:val="20"/>
                <w:szCs w:val="20"/>
              </w:rPr>
            </w:pPr>
            <w:r w:rsidRPr="005E26AC">
              <w:rPr>
                <w:sz w:val="20"/>
                <w:szCs w:val="20"/>
              </w:rPr>
              <w:t>Public s</w:t>
            </w:r>
            <w:r w:rsidR="00D2310C">
              <w:rPr>
                <w:sz w:val="20"/>
                <w:szCs w:val="20"/>
              </w:rPr>
              <w:t>paces of violence</w:t>
            </w:r>
          </w:p>
        </w:tc>
        <w:tc>
          <w:tcPr>
            <w:tcW w:w="7230" w:type="dxa"/>
          </w:tcPr>
          <w:p w14:paraId="4B3E6637" w14:textId="57D4CC63" w:rsidR="00E71BDE" w:rsidRPr="005E26AC" w:rsidRDefault="00E71BDE" w:rsidP="005E26A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DF2D79">
              <w:rPr>
                <w:b/>
                <w:i/>
                <w:sz w:val="20"/>
                <w:szCs w:val="20"/>
              </w:rPr>
              <w:t>Reduce hotspots</w:t>
            </w:r>
            <w:r w:rsidR="005E26AC" w:rsidRPr="00DF2D79">
              <w:rPr>
                <w:b/>
                <w:i/>
                <w:sz w:val="20"/>
                <w:szCs w:val="20"/>
              </w:rPr>
              <w:t>:</w:t>
            </w:r>
            <w:r w:rsidR="005E26AC" w:rsidRPr="005E26AC">
              <w:rPr>
                <w:sz w:val="20"/>
                <w:szCs w:val="20"/>
              </w:rPr>
              <w:t xml:space="preserve"> police operations</w:t>
            </w:r>
            <w:r w:rsidR="00DF2D79">
              <w:rPr>
                <w:sz w:val="20"/>
                <w:szCs w:val="20"/>
              </w:rPr>
              <w:t xml:space="preserve"> at hotspot locations</w:t>
            </w:r>
            <w:r w:rsidR="005E26AC" w:rsidRPr="005E26AC">
              <w:rPr>
                <w:sz w:val="20"/>
                <w:szCs w:val="20"/>
              </w:rPr>
              <w:t xml:space="preserve"> to </w:t>
            </w:r>
            <w:r w:rsidR="00DF2D79">
              <w:rPr>
                <w:sz w:val="20"/>
                <w:szCs w:val="20"/>
              </w:rPr>
              <w:t>reduce numbers of weapons/</w:t>
            </w:r>
            <w:r w:rsidR="005E26AC" w:rsidRPr="005E26AC">
              <w:rPr>
                <w:sz w:val="20"/>
                <w:szCs w:val="20"/>
              </w:rPr>
              <w:t xml:space="preserve">take violent offenders out of circulation </w:t>
            </w:r>
          </w:p>
          <w:p w14:paraId="5FC97918" w14:textId="19B1E090" w:rsidR="00E71BDE" w:rsidRPr="005E26AC" w:rsidRDefault="00E71BDE" w:rsidP="00DF2D7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610DEF">
              <w:rPr>
                <w:b/>
                <w:i/>
                <w:sz w:val="20"/>
                <w:szCs w:val="20"/>
              </w:rPr>
              <w:t xml:space="preserve">Reduce </w:t>
            </w:r>
            <w:r w:rsidR="005E26AC" w:rsidRPr="00610DEF">
              <w:rPr>
                <w:b/>
                <w:i/>
                <w:sz w:val="20"/>
                <w:szCs w:val="20"/>
              </w:rPr>
              <w:t>settings for violenc</w:t>
            </w:r>
            <w:r w:rsidR="005E26AC" w:rsidRPr="005E26AC">
              <w:rPr>
                <w:b/>
                <w:sz w:val="20"/>
                <w:szCs w:val="20"/>
              </w:rPr>
              <w:t>e:</w:t>
            </w:r>
            <w:r w:rsidR="005E26AC" w:rsidRPr="005E26AC">
              <w:rPr>
                <w:sz w:val="20"/>
                <w:szCs w:val="20"/>
              </w:rPr>
              <w:t xml:space="preserve"> licensing controls/provocation for places </w:t>
            </w:r>
            <w:r w:rsidR="00DF2D79">
              <w:rPr>
                <w:sz w:val="20"/>
                <w:szCs w:val="20"/>
              </w:rPr>
              <w:t>that are common venues for violence</w:t>
            </w:r>
            <w:r w:rsidR="005E26AC" w:rsidRPr="005E26AC">
              <w:rPr>
                <w:sz w:val="20"/>
                <w:szCs w:val="20"/>
              </w:rPr>
              <w:t xml:space="preserve">. </w:t>
            </w:r>
          </w:p>
        </w:tc>
      </w:tr>
      <w:tr w:rsidR="00E71BDE" w14:paraId="04AC03C5" w14:textId="77777777" w:rsidTr="00DF2D79">
        <w:trPr>
          <w:trHeight w:val="549"/>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3016729" w14:textId="58EC80FC" w:rsidR="00E71BDE" w:rsidRPr="005E26AC" w:rsidRDefault="00674684" w:rsidP="00014B0D">
            <w:pPr>
              <w:rPr>
                <w:b w:val="0"/>
                <w:sz w:val="20"/>
                <w:szCs w:val="20"/>
              </w:rPr>
            </w:pPr>
            <w:r>
              <w:rPr>
                <w:sz w:val="20"/>
                <w:szCs w:val="20"/>
              </w:rPr>
              <w:t>After offending</w:t>
            </w:r>
            <w:r w:rsidR="00D2310C">
              <w:rPr>
                <w:b w:val="0"/>
                <w:sz w:val="20"/>
                <w:szCs w:val="20"/>
              </w:rPr>
              <w:t xml:space="preserve"> </w:t>
            </w:r>
          </w:p>
        </w:tc>
        <w:tc>
          <w:tcPr>
            <w:tcW w:w="7230" w:type="dxa"/>
          </w:tcPr>
          <w:p w14:paraId="47DF8D2D" w14:textId="2D4A9011" w:rsidR="00104E73" w:rsidRPr="00014B0D" w:rsidRDefault="005E26AC" w:rsidP="00014B0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610DEF">
              <w:rPr>
                <w:b/>
                <w:i/>
                <w:sz w:val="20"/>
                <w:szCs w:val="20"/>
              </w:rPr>
              <w:t>Support desistance process:</w:t>
            </w:r>
            <w:r w:rsidRPr="00610DEF">
              <w:rPr>
                <w:i/>
                <w:sz w:val="20"/>
                <w:szCs w:val="20"/>
              </w:rPr>
              <w:t xml:space="preserve"> </w:t>
            </w:r>
            <w:r w:rsidR="00E71BDE" w:rsidRPr="00014B0D">
              <w:rPr>
                <w:sz w:val="20"/>
                <w:szCs w:val="20"/>
              </w:rPr>
              <w:t xml:space="preserve">Support for offenders </w:t>
            </w:r>
            <w:r w:rsidRPr="00014B0D">
              <w:rPr>
                <w:sz w:val="20"/>
                <w:szCs w:val="20"/>
              </w:rPr>
              <w:t xml:space="preserve">through aftercare and through the gate programme </w:t>
            </w:r>
            <w:r w:rsidR="00E71BDE" w:rsidRPr="00014B0D">
              <w:rPr>
                <w:sz w:val="20"/>
                <w:szCs w:val="20"/>
              </w:rPr>
              <w:t>to promote likelihood of desistence</w:t>
            </w:r>
            <w:r w:rsidRPr="00014B0D">
              <w:rPr>
                <w:sz w:val="20"/>
                <w:szCs w:val="20"/>
              </w:rPr>
              <w:t>.</w:t>
            </w:r>
            <w:r w:rsidR="00E71BDE" w:rsidRPr="00014B0D">
              <w:rPr>
                <w:sz w:val="20"/>
                <w:szCs w:val="20"/>
              </w:rPr>
              <w:t xml:space="preserve"> </w:t>
            </w:r>
          </w:p>
        </w:tc>
      </w:tr>
    </w:tbl>
    <w:p w14:paraId="5E76A970" w14:textId="77777777" w:rsidR="00541EEE" w:rsidRDefault="00541EEE" w:rsidP="00014B0D">
      <w:pPr>
        <w:jc w:val="both"/>
        <w:sectPr w:rsidR="00541EEE" w:rsidSect="00541EEE">
          <w:type w:val="continuous"/>
          <w:pgSz w:w="11906" w:h="16838"/>
          <w:pgMar w:top="1440" w:right="1440" w:bottom="1440" w:left="1440" w:header="708" w:footer="708" w:gutter="0"/>
          <w:cols w:space="708"/>
          <w:docGrid w:linePitch="360"/>
        </w:sectPr>
      </w:pPr>
    </w:p>
    <w:p w14:paraId="6EB05F8E" w14:textId="0835994D" w:rsidR="00B83D2D" w:rsidRPr="007C5697" w:rsidRDefault="00530A30">
      <w:pPr>
        <w:rPr>
          <w:b/>
          <w:color w:val="2E74B5" w:themeColor="accent1" w:themeShade="BF"/>
          <w:sz w:val="24"/>
          <w:szCs w:val="24"/>
        </w:rPr>
      </w:pPr>
      <w:r w:rsidRPr="007C5697">
        <w:rPr>
          <w:b/>
          <w:color w:val="2E74B5" w:themeColor="accent1" w:themeShade="BF"/>
          <w:sz w:val="24"/>
          <w:szCs w:val="24"/>
        </w:rPr>
        <w:t>Evaluation and</w:t>
      </w:r>
      <w:r w:rsidR="00B83D2D" w:rsidRPr="007C5697">
        <w:rPr>
          <w:b/>
          <w:color w:val="2E74B5" w:themeColor="accent1" w:themeShade="BF"/>
          <w:sz w:val="24"/>
          <w:szCs w:val="24"/>
        </w:rPr>
        <w:t xml:space="preserve"> Impact</w:t>
      </w:r>
      <w:r w:rsidR="00014B0D" w:rsidRPr="007C5697">
        <w:rPr>
          <w:b/>
          <w:color w:val="2E74B5" w:themeColor="accent1" w:themeShade="BF"/>
          <w:sz w:val="24"/>
          <w:szCs w:val="24"/>
        </w:rPr>
        <w:t xml:space="preserve"> of measures </w:t>
      </w:r>
      <w:r w:rsidR="00B83D2D" w:rsidRPr="007C5697">
        <w:rPr>
          <w:b/>
          <w:color w:val="2E74B5" w:themeColor="accent1" w:themeShade="BF"/>
          <w:sz w:val="24"/>
          <w:szCs w:val="24"/>
        </w:rPr>
        <w:t xml:space="preserve">  </w:t>
      </w:r>
    </w:p>
    <w:p w14:paraId="2CD5021C" w14:textId="77777777" w:rsidR="002A5358" w:rsidRDefault="002A5358" w:rsidP="00452A19">
      <w:pPr>
        <w:jc w:val="both"/>
        <w:sectPr w:rsidR="002A5358" w:rsidSect="00541EEE">
          <w:type w:val="continuous"/>
          <w:pgSz w:w="11906" w:h="16838"/>
          <w:pgMar w:top="1440" w:right="1440" w:bottom="1440" w:left="1440" w:header="708" w:footer="708" w:gutter="0"/>
          <w:cols w:num="2" w:space="708"/>
          <w:docGrid w:linePitch="360"/>
        </w:sectPr>
      </w:pPr>
    </w:p>
    <w:p w14:paraId="4BE53257" w14:textId="530C091E" w:rsidR="002A5358" w:rsidRPr="00AD5C75" w:rsidRDefault="009D7EBB" w:rsidP="002A5358">
      <w:pPr>
        <w:jc w:val="both"/>
        <w:sectPr w:rsidR="002A5358" w:rsidRPr="00AD5C75" w:rsidSect="002A5358">
          <w:type w:val="continuous"/>
          <w:pgSz w:w="11906" w:h="16838"/>
          <w:pgMar w:top="1440" w:right="1440" w:bottom="1440" w:left="1440" w:header="708" w:footer="708" w:gutter="0"/>
          <w:cols w:num="2" w:space="708"/>
          <w:docGrid w:linePitch="360"/>
        </w:sectPr>
      </w:pPr>
      <w:r w:rsidRPr="009D7EBB">
        <w:t>I</w:t>
      </w:r>
      <w:r>
        <w:t xml:space="preserve">dentifying which </w:t>
      </w:r>
      <w:r w:rsidRPr="009D7EBB">
        <w:t>interventions</w:t>
      </w:r>
      <w:r>
        <w:t xml:space="preserve"> ‘work’ in relation to their intended outcomes</w:t>
      </w:r>
      <w:r w:rsidR="00452A19">
        <w:t xml:space="preserve"> </w:t>
      </w:r>
      <w:r w:rsidR="006552E4">
        <w:t>is essential to</w:t>
      </w:r>
      <w:r>
        <w:t xml:space="preserve"> crime reduction activity.  </w:t>
      </w:r>
      <w:r w:rsidR="006552E4">
        <w:t>The early evidence suggests a plethora of</w:t>
      </w:r>
      <w:r w:rsidR="009E63FE">
        <w:t xml:space="preserve"> indicators </w:t>
      </w:r>
      <w:r w:rsidR="00610DEF">
        <w:t xml:space="preserve">have been identified </w:t>
      </w:r>
      <w:r w:rsidR="009E63FE">
        <w:t>and</w:t>
      </w:r>
      <w:r w:rsidR="006552E4">
        <w:t xml:space="preserve"> </w:t>
      </w:r>
      <w:r w:rsidR="003B43A2">
        <w:t xml:space="preserve">a range of </w:t>
      </w:r>
      <w:r w:rsidR="006552E4">
        <w:t xml:space="preserve">measures are being used nationally to </w:t>
      </w:r>
      <w:r w:rsidR="003B43A2">
        <w:t>test</w:t>
      </w:r>
      <w:r w:rsidR="006552E4">
        <w:t xml:space="preserve"> efficacy across VRU areas (</w:t>
      </w:r>
      <w:proofErr w:type="spellStart"/>
      <w:r w:rsidR="006552E4">
        <w:t>Youansamouth</w:t>
      </w:r>
      <w:proofErr w:type="spellEnd"/>
      <w:r w:rsidR="006552E4">
        <w:t xml:space="preserve"> </w:t>
      </w:r>
      <w:r w:rsidR="006552E4" w:rsidRPr="006552E4">
        <w:rPr>
          <w:i/>
        </w:rPr>
        <w:t>et al</w:t>
      </w:r>
      <w:r w:rsidR="00D0506E">
        <w:rPr>
          <w:i/>
        </w:rPr>
        <w:t>.</w:t>
      </w:r>
      <w:r w:rsidR="006552E4">
        <w:t>, 2020).  In the East Midlands, o</w:t>
      </w:r>
      <w:r w:rsidR="001E3A51">
        <w:t xml:space="preserve">ut of </w:t>
      </w:r>
      <w:r w:rsidR="00452A19">
        <w:t xml:space="preserve">the </w:t>
      </w:r>
      <w:r w:rsidR="00610DEF">
        <w:t>47</w:t>
      </w:r>
      <w:r w:rsidR="003D15A6">
        <w:t xml:space="preserve"> reported</w:t>
      </w:r>
      <w:r w:rsidR="00610DEF">
        <w:t xml:space="preserve"> interventions</w:t>
      </w:r>
      <w:r w:rsidR="00D0506E">
        <w:t xml:space="preserve">, </w:t>
      </w:r>
      <w:r w:rsidR="00610DEF">
        <w:t>42</w:t>
      </w:r>
      <w:r w:rsidR="00520F1D">
        <w:t xml:space="preserve"> had clear indicators </w:t>
      </w:r>
      <w:r w:rsidR="001E3A51">
        <w:t>associated with them.</w:t>
      </w:r>
      <w:r w:rsidR="00D2310C">
        <w:t xml:space="preserve"> Of course, the main long-term outcome for most of the </w:t>
      </w:r>
      <w:r w:rsidR="00610DEF">
        <w:t>interventions</w:t>
      </w:r>
      <w:r w:rsidR="00D2310C">
        <w:t xml:space="preserve"> was to reduce </w:t>
      </w:r>
      <w:r w:rsidR="00D2310C">
        <w:t>various forms of violence, though many also had a set of shorter or more intermediate outcome measures.</w:t>
      </w:r>
      <w:r w:rsidR="001E3A51">
        <w:t xml:space="preserve"> </w:t>
      </w:r>
      <w:r w:rsidR="003B43A2">
        <w:t>Examples of the</w:t>
      </w:r>
      <w:r w:rsidR="00D2310C">
        <w:t xml:space="preserve"> indicators </w:t>
      </w:r>
      <w:r w:rsidR="003B43A2">
        <w:t>are</w:t>
      </w:r>
      <w:r w:rsidR="001E3A51">
        <w:t xml:space="preserve"> outlined in Table 3</w:t>
      </w:r>
      <w:r w:rsidR="003D15A6">
        <w:t xml:space="preserve">. </w:t>
      </w:r>
      <w:r w:rsidR="00452A19">
        <w:t xml:space="preserve">The first column presents </w:t>
      </w:r>
      <w:r w:rsidR="007C5697">
        <w:t xml:space="preserve">an overview of the ‘outcome’ focus </w:t>
      </w:r>
      <w:r w:rsidR="00D0506E">
        <w:t xml:space="preserve">of </w:t>
      </w:r>
      <w:r w:rsidR="007C5697">
        <w:t xml:space="preserve">the interventions (i.e. what </w:t>
      </w:r>
      <w:r w:rsidR="00D0506E">
        <w:t xml:space="preserve">they </w:t>
      </w:r>
      <w:r w:rsidR="007C5697">
        <w:t>intend</w:t>
      </w:r>
      <w:r w:rsidR="00D0506E">
        <w:t>ed</w:t>
      </w:r>
      <w:r w:rsidR="007C5697">
        <w:t xml:space="preserve"> to change)</w:t>
      </w:r>
      <w:r w:rsidR="00452A19">
        <w:t xml:space="preserve"> and the second column presents some examples of specific indicators</w:t>
      </w:r>
      <w:r w:rsidR="002A5358">
        <w:rPr>
          <w:rStyle w:val="FootnoteReference"/>
        </w:rPr>
        <w:footnoteReference w:id="2"/>
      </w:r>
      <w:r w:rsidR="002A5358">
        <w:t>. As might be expected, the indicators are logically aligned to the types of desired outcomes</w:t>
      </w:r>
    </w:p>
    <w:p w14:paraId="146FD5FB" w14:textId="1B5F29D8" w:rsidR="00AD5C75" w:rsidRDefault="00AD5C75" w:rsidP="00452A19">
      <w:pPr>
        <w:jc w:val="both"/>
        <w:sectPr w:rsidR="00AD5C75" w:rsidSect="002A5358">
          <w:type w:val="continuous"/>
          <w:pgSz w:w="11906" w:h="16838"/>
          <w:pgMar w:top="1440" w:right="1440" w:bottom="1440" w:left="1440" w:header="708" w:footer="708" w:gutter="0"/>
          <w:cols w:num="2" w:space="708"/>
          <w:docGrid w:linePitch="360"/>
        </w:sectPr>
      </w:pPr>
    </w:p>
    <w:p w14:paraId="6AE4BC97" w14:textId="77777777" w:rsidR="002A5358" w:rsidRDefault="002A5358">
      <w:pPr>
        <w:rPr>
          <w:b/>
        </w:rPr>
        <w:sectPr w:rsidR="002A5358" w:rsidSect="00541EEE">
          <w:type w:val="continuous"/>
          <w:pgSz w:w="11906" w:h="16838"/>
          <w:pgMar w:top="1440" w:right="1440" w:bottom="1440" w:left="1440" w:header="708" w:footer="708" w:gutter="0"/>
          <w:cols w:space="708"/>
          <w:docGrid w:linePitch="360"/>
        </w:sectPr>
      </w:pPr>
    </w:p>
    <w:p w14:paraId="30F57E2A" w14:textId="02BEC052" w:rsidR="00513D6C" w:rsidRDefault="00513D6C">
      <w:pPr>
        <w:rPr>
          <w:b/>
        </w:rPr>
      </w:pPr>
    </w:p>
    <w:p w14:paraId="381F5BB0" w14:textId="4E0DA2C7" w:rsidR="00354681" w:rsidRPr="00B9572E" w:rsidRDefault="003A0AC6">
      <w:pPr>
        <w:rPr>
          <w:b/>
        </w:rPr>
      </w:pPr>
      <w:r w:rsidRPr="00B9572E">
        <w:rPr>
          <w:b/>
        </w:rPr>
        <w:t xml:space="preserve">Table 3: </w:t>
      </w:r>
      <w:r w:rsidR="00AD5C75">
        <w:rPr>
          <w:b/>
        </w:rPr>
        <w:t>Indicator</w:t>
      </w:r>
      <w:r w:rsidR="00452A19" w:rsidRPr="00B9572E">
        <w:rPr>
          <w:b/>
        </w:rPr>
        <w:t>s of change</w:t>
      </w:r>
    </w:p>
    <w:tbl>
      <w:tblPr>
        <w:tblStyle w:val="GridTable4-Accent6"/>
        <w:tblW w:w="0" w:type="auto"/>
        <w:tblLook w:val="04A0" w:firstRow="1" w:lastRow="0" w:firstColumn="1" w:lastColumn="0" w:noHBand="0" w:noVBand="1"/>
      </w:tblPr>
      <w:tblGrid>
        <w:gridCol w:w="3397"/>
        <w:gridCol w:w="5529"/>
      </w:tblGrid>
      <w:tr w:rsidR="00B31C6D" w:rsidRPr="00A13BB9" w14:paraId="753E77D7" w14:textId="77777777" w:rsidTr="006C7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2416F4F" w14:textId="483516E8" w:rsidR="00B31C6D" w:rsidRPr="003A0AC6" w:rsidRDefault="007C5697" w:rsidP="007C5697">
            <w:pPr>
              <w:rPr>
                <w:b w:val="0"/>
              </w:rPr>
            </w:pPr>
            <w:r>
              <w:rPr>
                <w:b w:val="0"/>
              </w:rPr>
              <w:t>Outcome f</w:t>
            </w:r>
            <w:r w:rsidR="00452A19">
              <w:rPr>
                <w:b w:val="0"/>
              </w:rPr>
              <w:t>ocus of intervention</w:t>
            </w:r>
          </w:p>
        </w:tc>
        <w:tc>
          <w:tcPr>
            <w:tcW w:w="5529" w:type="dxa"/>
          </w:tcPr>
          <w:p w14:paraId="53581585" w14:textId="06C0420D" w:rsidR="00B31C6D" w:rsidRPr="003A0AC6" w:rsidRDefault="00452A19" w:rsidP="00FE59D0">
            <w:pPr>
              <w:jc w:val="center"/>
              <w:cnfStyle w:val="100000000000" w:firstRow="1" w:lastRow="0" w:firstColumn="0" w:lastColumn="0" w:oddVBand="0" w:evenVBand="0" w:oddHBand="0" w:evenHBand="0" w:firstRowFirstColumn="0" w:firstRowLastColumn="0" w:lastRowFirstColumn="0" w:lastRowLastColumn="0"/>
              <w:rPr>
                <w:b w:val="0"/>
              </w:rPr>
            </w:pPr>
            <w:r>
              <w:rPr>
                <w:b w:val="0"/>
              </w:rPr>
              <w:t>Key examples of indictors</w:t>
            </w:r>
          </w:p>
        </w:tc>
      </w:tr>
      <w:tr w:rsidR="00B31C6D" w:rsidRPr="00A13BB9" w14:paraId="227CBB95" w14:textId="77777777" w:rsidTr="00FE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8885BDA" w14:textId="77777777" w:rsidR="00B31C6D" w:rsidRPr="00A13BB9" w:rsidRDefault="00B31C6D" w:rsidP="00A15802">
            <w:pPr>
              <w:rPr>
                <w:sz w:val="20"/>
                <w:szCs w:val="20"/>
              </w:rPr>
            </w:pPr>
          </w:p>
          <w:p w14:paraId="2238B801" w14:textId="7BB70FF9" w:rsidR="00B31C6D" w:rsidRPr="00A13BB9" w:rsidRDefault="00D1423C" w:rsidP="00A15802">
            <w:pPr>
              <w:rPr>
                <w:sz w:val="20"/>
                <w:szCs w:val="20"/>
              </w:rPr>
            </w:pPr>
            <w:r>
              <w:rPr>
                <w:sz w:val="20"/>
                <w:szCs w:val="20"/>
              </w:rPr>
              <w:t>Offence based</w:t>
            </w:r>
            <w:r w:rsidR="00342CEE">
              <w:rPr>
                <w:sz w:val="20"/>
                <w:szCs w:val="20"/>
              </w:rPr>
              <w:t>/</w:t>
            </w:r>
            <w:r w:rsidR="00552D83">
              <w:rPr>
                <w:sz w:val="20"/>
                <w:szCs w:val="20"/>
              </w:rPr>
              <w:t xml:space="preserve">geographical </w:t>
            </w:r>
            <w:r w:rsidR="00342CEE">
              <w:rPr>
                <w:sz w:val="20"/>
                <w:szCs w:val="20"/>
              </w:rPr>
              <w:t xml:space="preserve">area </w:t>
            </w:r>
            <w:r w:rsidR="00552D83">
              <w:rPr>
                <w:sz w:val="20"/>
                <w:szCs w:val="20"/>
              </w:rPr>
              <w:t xml:space="preserve">focused </w:t>
            </w:r>
            <w:r w:rsidR="00342CEE">
              <w:rPr>
                <w:sz w:val="20"/>
                <w:szCs w:val="20"/>
              </w:rPr>
              <w:t>crime reduction</w:t>
            </w:r>
          </w:p>
          <w:p w14:paraId="74F7B0F0" w14:textId="77777777" w:rsidR="00B31C6D" w:rsidRPr="00A13BB9" w:rsidRDefault="00B31C6D" w:rsidP="00A15802">
            <w:pPr>
              <w:rPr>
                <w:sz w:val="20"/>
                <w:szCs w:val="20"/>
              </w:rPr>
            </w:pPr>
          </w:p>
        </w:tc>
        <w:tc>
          <w:tcPr>
            <w:tcW w:w="5529" w:type="dxa"/>
          </w:tcPr>
          <w:p w14:paraId="04B37BEA" w14:textId="5FB9925F" w:rsidR="00B31C6D" w:rsidRDefault="00342CEE" w:rsidP="00D1423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1423C">
              <w:rPr>
                <w:sz w:val="20"/>
                <w:szCs w:val="20"/>
              </w:rPr>
              <w:t xml:space="preserve">Reductions in </w:t>
            </w:r>
            <w:r w:rsidR="003B43A2">
              <w:rPr>
                <w:sz w:val="20"/>
                <w:szCs w:val="20"/>
              </w:rPr>
              <w:t xml:space="preserve">serious violence offending </w:t>
            </w:r>
          </w:p>
          <w:p w14:paraId="0468C920" w14:textId="1F9B208A" w:rsidR="005A20D4" w:rsidRDefault="00342CEE" w:rsidP="00D1423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1423C">
              <w:rPr>
                <w:sz w:val="20"/>
                <w:szCs w:val="20"/>
              </w:rPr>
              <w:t>Reductions in youth violence</w:t>
            </w:r>
          </w:p>
          <w:p w14:paraId="229AAA1C" w14:textId="25F007D2" w:rsidR="00342CEE" w:rsidRPr="00A13BB9" w:rsidRDefault="00342CEE" w:rsidP="00251A3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251A37">
              <w:rPr>
                <w:sz w:val="20"/>
                <w:szCs w:val="20"/>
              </w:rPr>
              <w:t xml:space="preserve">Improved </w:t>
            </w:r>
            <w:r w:rsidR="005A20D4">
              <w:rPr>
                <w:sz w:val="20"/>
                <w:szCs w:val="20"/>
              </w:rPr>
              <w:t xml:space="preserve">feelings of </w:t>
            </w:r>
            <w:r w:rsidR="00251A37">
              <w:rPr>
                <w:sz w:val="20"/>
                <w:szCs w:val="20"/>
              </w:rPr>
              <w:t>c</w:t>
            </w:r>
            <w:r>
              <w:rPr>
                <w:sz w:val="20"/>
                <w:szCs w:val="20"/>
              </w:rPr>
              <w:t>ommunity reassurance</w:t>
            </w:r>
          </w:p>
        </w:tc>
      </w:tr>
      <w:tr w:rsidR="00B31C6D" w:rsidRPr="00A13BB9" w14:paraId="44D11B8E" w14:textId="77777777" w:rsidTr="006C7332">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634FA94" w14:textId="74A5768D" w:rsidR="00B31C6D" w:rsidRPr="00A13BB9" w:rsidRDefault="00B31C6D" w:rsidP="00A15802">
            <w:pPr>
              <w:rPr>
                <w:sz w:val="20"/>
                <w:szCs w:val="20"/>
              </w:rPr>
            </w:pPr>
          </w:p>
          <w:p w14:paraId="48B387C7" w14:textId="3AA7A28E" w:rsidR="00B31C6D" w:rsidRPr="00A13BB9" w:rsidRDefault="00D2310C" w:rsidP="00A15802">
            <w:pPr>
              <w:rPr>
                <w:sz w:val="20"/>
                <w:szCs w:val="20"/>
              </w:rPr>
            </w:pPr>
            <w:r>
              <w:rPr>
                <w:sz w:val="20"/>
                <w:szCs w:val="20"/>
              </w:rPr>
              <w:t>Changes in behaviours of s</w:t>
            </w:r>
            <w:r w:rsidR="00D1423C">
              <w:rPr>
                <w:sz w:val="20"/>
                <w:szCs w:val="20"/>
              </w:rPr>
              <w:t xml:space="preserve">chool </w:t>
            </w:r>
            <w:r>
              <w:rPr>
                <w:sz w:val="20"/>
                <w:szCs w:val="20"/>
              </w:rPr>
              <w:t>pupils</w:t>
            </w:r>
            <w:r w:rsidR="00251A37">
              <w:rPr>
                <w:sz w:val="20"/>
                <w:szCs w:val="20"/>
              </w:rPr>
              <w:t xml:space="preserve"> (school-based interventions)</w:t>
            </w:r>
          </w:p>
          <w:p w14:paraId="2A6CBF60" w14:textId="77777777" w:rsidR="00B31C6D" w:rsidRPr="00A13BB9" w:rsidRDefault="00B31C6D" w:rsidP="00A15802">
            <w:pPr>
              <w:rPr>
                <w:sz w:val="20"/>
                <w:szCs w:val="20"/>
              </w:rPr>
            </w:pPr>
          </w:p>
        </w:tc>
        <w:tc>
          <w:tcPr>
            <w:tcW w:w="5529" w:type="dxa"/>
          </w:tcPr>
          <w:p w14:paraId="54C1ED01" w14:textId="3AE8B48A" w:rsidR="00B31C6D" w:rsidRDefault="00342CEE" w:rsidP="00D142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5A20D4">
              <w:rPr>
                <w:sz w:val="20"/>
                <w:szCs w:val="20"/>
              </w:rPr>
              <w:t xml:space="preserve">Increased </w:t>
            </w:r>
            <w:r w:rsidR="00241781">
              <w:rPr>
                <w:sz w:val="20"/>
                <w:szCs w:val="20"/>
              </w:rPr>
              <w:t>numbers m</w:t>
            </w:r>
            <w:r w:rsidR="00251A37">
              <w:rPr>
                <w:sz w:val="20"/>
                <w:szCs w:val="20"/>
              </w:rPr>
              <w:t>eeting specific</w:t>
            </w:r>
            <w:r w:rsidR="00D1423C">
              <w:rPr>
                <w:sz w:val="20"/>
                <w:szCs w:val="20"/>
              </w:rPr>
              <w:t xml:space="preserve"> OFSTED </w:t>
            </w:r>
            <w:r w:rsidR="00251A37">
              <w:rPr>
                <w:sz w:val="20"/>
                <w:szCs w:val="20"/>
              </w:rPr>
              <w:t>Personal, Health, Social and Economic Education (</w:t>
            </w:r>
            <w:r w:rsidR="00D1423C">
              <w:rPr>
                <w:sz w:val="20"/>
                <w:szCs w:val="20"/>
              </w:rPr>
              <w:t>PHSE</w:t>
            </w:r>
            <w:r w:rsidR="00251A37">
              <w:rPr>
                <w:sz w:val="20"/>
                <w:szCs w:val="20"/>
              </w:rPr>
              <w:t>)</w:t>
            </w:r>
            <w:r w:rsidR="00D1423C">
              <w:rPr>
                <w:sz w:val="20"/>
                <w:szCs w:val="20"/>
              </w:rPr>
              <w:t xml:space="preserve"> targets</w:t>
            </w:r>
          </w:p>
          <w:p w14:paraId="1547F434" w14:textId="4305AC59" w:rsidR="00251A37" w:rsidRDefault="00251A37" w:rsidP="00D142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241781">
              <w:rPr>
                <w:sz w:val="20"/>
                <w:szCs w:val="20"/>
              </w:rPr>
              <w:t>Improvements in</w:t>
            </w:r>
            <w:r>
              <w:rPr>
                <w:sz w:val="20"/>
                <w:szCs w:val="20"/>
              </w:rPr>
              <w:t xml:space="preserve"> school attainment/achievement </w:t>
            </w:r>
          </w:p>
          <w:p w14:paraId="5956A076" w14:textId="38ECC6F5" w:rsidR="00241781" w:rsidRDefault="00251A37" w:rsidP="00251A3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-Improvements in behaviour/attendance </w:t>
            </w:r>
          </w:p>
          <w:p w14:paraId="4BB1ACEC" w14:textId="4820F86D" w:rsidR="00251A37" w:rsidRDefault="00241781" w:rsidP="00251A3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-Reductions in bullying</w:t>
            </w:r>
            <w:r w:rsidR="00251A37">
              <w:rPr>
                <w:sz w:val="20"/>
                <w:szCs w:val="20"/>
              </w:rPr>
              <w:t xml:space="preserve"> </w:t>
            </w:r>
          </w:p>
          <w:p w14:paraId="318B3731" w14:textId="7AE2799D" w:rsidR="00241781" w:rsidRPr="00A13BB9" w:rsidRDefault="00241781" w:rsidP="00251A3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-Reductions in school exclusion </w:t>
            </w:r>
          </w:p>
        </w:tc>
      </w:tr>
      <w:tr w:rsidR="00B31C6D" w:rsidRPr="00A13BB9" w14:paraId="47E97064" w14:textId="77777777" w:rsidTr="00FE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51AFEBD" w14:textId="77777777" w:rsidR="00B31C6D" w:rsidRPr="00A13BB9" w:rsidRDefault="00B31C6D" w:rsidP="00A15802">
            <w:pPr>
              <w:rPr>
                <w:sz w:val="20"/>
                <w:szCs w:val="20"/>
              </w:rPr>
            </w:pPr>
          </w:p>
          <w:p w14:paraId="1D4E2FF3" w14:textId="6E997673" w:rsidR="008F2133" w:rsidRPr="00A13BB9" w:rsidRDefault="00D1423C" w:rsidP="008F2133">
            <w:pPr>
              <w:rPr>
                <w:sz w:val="20"/>
                <w:szCs w:val="20"/>
              </w:rPr>
            </w:pPr>
            <w:r>
              <w:rPr>
                <w:sz w:val="20"/>
                <w:szCs w:val="20"/>
              </w:rPr>
              <w:t>Young person’s achievements</w:t>
            </w:r>
            <w:r w:rsidR="008F2133">
              <w:rPr>
                <w:sz w:val="20"/>
                <w:szCs w:val="20"/>
              </w:rPr>
              <w:t>/Young person’s behaviour change</w:t>
            </w:r>
          </w:p>
          <w:p w14:paraId="574FEC75" w14:textId="74D4607B" w:rsidR="00B31C6D" w:rsidRPr="00A13BB9" w:rsidRDefault="00B31C6D" w:rsidP="00A15802">
            <w:pPr>
              <w:rPr>
                <w:sz w:val="20"/>
                <w:szCs w:val="20"/>
              </w:rPr>
            </w:pPr>
          </w:p>
        </w:tc>
        <w:tc>
          <w:tcPr>
            <w:tcW w:w="5529" w:type="dxa"/>
          </w:tcPr>
          <w:p w14:paraId="69D1A00F" w14:textId="1B5848DE" w:rsidR="0093489A" w:rsidRPr="0093489A" w:rsidRDefault="00241781" w:rsidP="008F21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 in</w:t>
            </w:r>
            <w:r w:rsidR="0093489A" w:rsidRPr="0093489A">
              <w:rPr>
                <w:sz w:val="20"/>
                <w:szCs w:val="20"/>
              </w:rPr>
              <w:t xml:space="preserve"> a range of </w:t>
            </w:r>
            <w:r>
              <w:rPr>
                <w:sz w:val="20"/>
                <w:szCs w:val="20"/>
              </w:rPr>
              <w:t xml:space="preserve">skills related to </w:t>
            </w:r>
            <w:r w:rsidR="0093489A" w:rsidRPr="0093489A">
              <w:rPr>
                <w:sz w:val="20"/>
                <w:szCs w:val="20"/>
              </w:rPr>
              <w:t>protective factors (education/employment/life skills)</w:t>
            </w:r>
          </w:p>
          <w:p w14:paraId="5D566139" w14:textId="77777777" w:rsidR="00241781" w:rsidRDefault="0093489A" w:rsidP="00241781">
            <w:pPr>
              <w:cnfStyle w:val="000000100000" w:firstRow="0" w:lastRow="0" w:firstColumn="0" w:lastColumn="0" w:oddVBand="0" w:evenVBand="0" w:oddHBand="1" w:evenHBand="0" w:firstRowFirstColumn="0" w:firstRowLastColumn="0" w:lastRowFirstColumn="0" w:lastRowLastColumn="0"/>
              <w:rPr>
                <w:sz w:val="20"/>
                <w:szCs w:val="20"/>
              </w:rPr>
            </w:pPr>
            <w:r w:rsidRPr="0093489A">
              <w:rPr>
                <w:sz w:val="20"/>
                <w:szCs w:val="20"/>
              </w:rPr>
              <w:t>-</w:t>
            </w:r>
            <w:r w:rsidR="00241781">
              <w:rPr>
                <w:sz w:val="20"/>
                <w:szCs w:val="20"/>
              </w:rPr>
              <w:t>Increase in positive behaviours</w:t>
            </w:r>
          </w:p>
          <w:p w14:paraId="1B3E810C" w14:textId="20407064" w:rsidR="00B034AD" w:rsidRPr="00A13BB9" w:rsidRDefault="0093489A" w:rsidP="00BB419C">
            <w:pPr>
              <w:cnfStyle w:val="000000100000" w:firstRow="0" w:lastRow="0" w:firstColumn="0" w:lastColumn="0" w:oddVBand="0" w:evenVBand="0" w:oddHBand="1" w:evenHBand="0" w:firstRowFirstColumn="0" w:firstRowLastColumn="0" w:lastRowFirstColumn="0" w:lastRowLastColumn="0"/>
              <w:rPr>
                <w:sz w:val="20"/>
                <w:szCs w:val="20"/>
              </w:rPr>
            </w:pPr>
            <w:r w:rsidRPr="0093489A">
              <w:rPr>
                <w:sz w:val="20"/>
                <w:szCs w:val="20"/>
              </w:rPr>
              <w:t>-</w:t>
            </w:r>
            <w:r w:rsidR="00BB419C">
              <w:rPr>
                <w:sz w:val="20"/>
                <w:szCs w:val="20"/>
              </w:rPr>
              <w:t>Increase in positive attitudes</w:t>
            </w:r>
          </w:p>
        </w:tc>
      </w:tr>
      <w:tr w:rsidR="00B31C6D" w:rsidRPr="00A13BB9" w14:paraId="7C032B78" w14:textId="77777777" w:rsidTr="006C7332">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61898DA9" w14:textId="77777777" w:rsidR="00B31C6D" w:rsidRDefault="00B31C6D" w:rsidP="00A15802">
            <w:pPr>
              <w:rPr>
                <w:sz w:val="20"/>
                <w:szCs w:val="20"/>
              </w:rPr>
            </w:pPr>
          </w:p>
          <w:p w14:paraId="41CEC0AC" w14:textId="46C95DFC" w:rsidR="008F2133" w:rsidRPr="00A13BB9" w:rsidRDefault="008F2133" w:rsidP="00A15802">
            <w:pPr>
              <w:rPr>
                <w:sz w:val="20"/>
                <w:szCs w:val="20"/>
              </w:rPr>
            </w:pPr>
            <w:r>
              <w:rPr>
                <w:sz w:val="20"/>
                <w:szCs w:val="20"/>
              </w:rPr>
              <w:t>Job prospect</w:t>
            </w:r>
            <w:r w:rsidR="00251A37">
              <w:rPr>
                <w:sz w:val="20"/>
                <w:szCs w:val="20"/>
              </w:rPr>
              <w:t xml:space="preserve">s/ employment specific </w:t>
            </w:r>
          </w:p>
          <w:p w14:paraId="104D25A7" w14:textId="77777777" w:rsidR="00B31C6D" w:rsidRPr="00A13BB9" w:rsidRDefault="00B31C6D" w:rsidP="008F2133">
            <w:pPr>
              <w:rPr>
                <w:sz w:val="20"/>
                <w:szCs w:val="20"/>
              </w:rPr>
            </w:pPr>
          </w:p>
        </w:tc>
        <w:tc>
          <w:tcPr>
            <w:tcW w:w="5529" w:type="dxa"/>
          </w:tcPr>
          <w:p w14:paraId="730529CB" w14:textId="5B7BF5EB" w:rsidR="0093489A" w:rsidRDefault="0093489A" w:rsidP="0093489A">
            <w:pPr>
              <w:cnfStyle w:val="000000000000" w:firstRow="0" w:lastRow="0" w:firstColumn="0" w:lastColumn="0" w:oddVBand="0" w:evenVBand="0" w:oddHBand="0" w:evenHBand="0" w:firstRowFirstColumn="0" w:firstRowLastColumn="0" w:lastRowFirstColumn="0" w:lastRowLastColumn="0"/>
              <w:rPr>
                <w:sz w:val="20"/>
                <w:szCs w:val="20"/>
              </w:rPr>
            </w:pPr>
            <w:r w:rsidRPr="0093489A">
              <w:rPr>
                <w:sz w:val="20"/>
                <w:szCs w:val="20"/>
              </w:rPr>
              <w:t>-</w:t>
            </w:r>
            <w:r w:rsidR="00BB419C">
              <w:rPr>
                <w:sz w:val="20"/>
                <w:szCs w:val="20"/>
              </w:rPr>
              <w:t xml:space="preserve">Increase in knowledge and skills </w:t>
            </w:r>
          </w:p>
          <w:p w14:paraId="1F2C27E4" w14:textId="66FCF69F" w:rsidR="00850306" w:rsidRPr="00A13BB9" w:rsidRDefault="0093489A" w:rsidP="009348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-Securing employment </w:t>
            </w:r>
            <w:r w:rsidR="00850306">
              <w:rPr>
                <w:sz w:val="20"/>
                <w:szCs w:val="20"/>
              </w:rPr>
              <w:t xml:space="preserve"> </w:t>
            </w:r>
          </w:p>
        </w:tc>
      </w:tr>
      <w:tr w:rsidR="00B31C6D" w:rsidRPr="00A13BB9" w14:paraId="076C4609" w14:textId="77777777" w:rsidTr="00FE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6B40F68" w14:textId="24F01EDA" w:rsidR="00B31C6D" w:rsidRPr="00A13BB9" w:rsidRDefault="008F2133" w:rsidP="00850306">
            <w:pPr>
              <w:rPr>
                <w:sz w:val="20"/>
                <w:szCs w:val="20"/>
              </w:rPr>
            </w:pPr>
            <w:r>
              <w:rPr>
                <w:sz w:val="20"/>
                <w:szCs w:val="20"/>
              </w:rPr>
              <w:t>Suspect identification/prosecution</w:t>
            </w:r>
            <w:r w:rsidR="00342CEE">
              <w:rPr>
                <w:sz w:val="20"/>
                <w:szCs w:val="20"/>
              </w:rPr>
              <w:t>/ weapons seizure</w:t>
            </w:r>
          </w:p>
        </w:tc>
        <w:tc>
          <w:tcPr>
            <w:tcW w:w="5529" w:type="dxa"/>
          </w:tcPr>
          <w:p w14:paraId="176E06D8" w14:textId="39FA7811" w:rsidR="00342CEE" w:rsidRDefault="00342CEE" w:rsidP="0085030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BB419C">
              <w:rPr>
                <w:sz w:val="20"/>
                <w:szCs w:val="20"/>
              </w:rPr>
              <w:t>Increase in number of s</w:t>
            </w:r>
            <w:r>
              <w:rPr>
                <w:sz w:val="20"/>
                <w:szCs w:val="20"/>
              </w:rPr>
              <w:t xml:space="preserve">uspects identified </w:t>
            </w:r>
          </w:p>
          <w:p w14:paraId="04C4A7F6" w14:textId="274BC139" w:rsidR="00B31C6D" w:rsidRPr="00A13BB9" w:rsidRDefault="00342CEE" w:rsidP="00BB419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BB419C">
              <w:rPr>
                <w:sz w:val="20"/>
                <w:szCs w:val="20"/>
              </w:rPr>
              <w:t xml:space="preserve">Increase in knife </w:t>
            </w:r>
            <w:r>
              <w:rPr>
                <w:sz w:val="20"/>
                <w:szCs w:val="20"/>
              </w:rPr>
              <w:t xml:space="preserve">seizures </w:t>
            </w:r>
          </w:p>
        </w:tc>
      </w:tr>
      <w:tr w:rsidR="00B31C6D" w:rsidRPr="00A13BB9" w14:paraId="70427558" w14:textId="77777777" w:rsidTr="006C7332">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5FC78D8D" w14:textId="77777777" w:rsidR="00B31C6D" w:rsidRDefault="00B31C6D" w:rsidP="00A15802">
            <w:pPr>
              <w:rPr>
                <w:sz w:val="20"/>
                <w:szCs w:val="20"/>
              </w:rPr>
            </w:pPr>
          </w:p>
          <w:p w14:paraId="6FBA85F8" w14:textId="3F665B1B" w:rsidR="00342CEE" w:rsidRPr="00A13BB9" w:rsidRDefault="00251A37" w:rsidP="00A15802">
            <w:pPr>
              <w:rPr>
                <w:sz w:val="20"/>
                <w:szCs w:val="20"/>
              </w:rPr>
            </w:pPr>
            <w:r>
              <w:rPr>
                <w:sz w:val="20"/>
                <w:szCs w:val="20"/>
              </w:rPr>
              <w:t>Others (weapons control; media campaigns; premises licensing etc.)</w:t>
            </w:r>
          </w:p>
          <w:p w14:paraId="058E429A" w14:textId="73198B19" w:rsidR="00B31C6D" w:rsidRPr="00A13BB9" w:rsidRDefault="00B31C6D" w:rsidP="00A15802">
            <w:pPr>
              <w:rPr>
                <w:sz w:val="20"/>
                <w:szCs w:val="20"/>
              </w:rPr>
            </w:pPr>
          </w:p>
        </w:tc>
        <w:tc>
          <w:tcPr>
            <w:tcW w:w="5529" w:type="dxa"/>
          </w:tcPr>
          <w:p w14:paraId="2B711000" w14:textId="2ADC5F7F" w:rsidR="00342CEE" w:rsidRDefault="00342CEE" w:rsidP="00A158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BB419C">
              <w:rPr>
                <w:sz w:val="20"/>
                <w:szCs w:val="20"/>
              </w:rPr>
              <w:t>Reduction in premises that are venues for violence  (through l</w:t>
            </w:r>
            <w:r>
              <w:rPr>
                <w:sz w:val="20"/>
                <w:szCs w:val="20"/>
              </w:rPr>
              <w:t>icencing changes/closures</w:t>
            </w:r>
            <w:r w:rsidR="00BB419C">
              <w:rPr>
                <w:sz w:val="20"/>
                <w:szCs w:val="20"/>
              </w:rPr>
              <w:t>)</w:t>
            </w:r>
          </w:p>
          <w:p w14:paraId="4727B5F1" w14:textId="628D4631" w:rsidR="00342CEE" w:rsidRDefault="00342CEE" w:rsidP="00A158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BB419C">
              <w:rPr>
                <w:sz w:val="20"/>
                <w:szCs w:val="20"/>
              </w:rPr>
              <w:t xml:space="preserve">Reduction in stores </w:t>
            </w:r>
            <w:r>
              <w:rPr>
                <w:sz w:val="20"/>
                <w:szCs w:val="20"/>
              </w:rPr>
              <w:t>breaking weapons sales restrictions</w:t>
            </w:r>
          </w:p>
          <w:p w14:paraId="12F832FE" w14:textId="712EC908" w:rsidR="00342CEE" w:rsidRDefault="00342CEE" w:rsidP="00A158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-Reach of social media campaigns</w:t>
            </w:r>
          </w:p>
          <w:p w14:paraId="33A58740" w14:textId="25F39701" w:rsidR="00342CEE" w:rsidRPr="00A13BB9" w:rsidRDefault="00342CEE" w:rsidP="00BB419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BB419C">
              <w:rPr>
                <w:sz w:val="20"/>
                <w:szCs w:val="20"/>
              </w:rPr>
              <w:t>Numbers of c</w:t>
            </w:r>
            <w:r>
              <w:rPr>
                <w:sz w:val="20"/>
                <w:szCs w:val="20"/>
              </w:rPr>
              <w:t xml:space="preserve">adets recruited to police cadets programmes </w:t>
            </w:r>
          </w:p>
        </w:tc>
      </w:tr>
    </w:tbl>
    <w:p w14:paraId="37DBE872" w14:textId="77777777" w:rsidR="00541EEE" w:rsidRDefault="00541EEE">
      <w:pPr>
        <w:rPr>
          <w:b/>
          <w:sz w:val="24"/>
          <w:szCs w:val="24"/>
        </w:rPr>
        <w:sectPr w:rsidR="00541EEE" w:rsidSect="00541EEE">
          <w:type w:val="continuous"/>
          <w:pgSz w:w="11906" w:h="16838"/>
          <w:pgMar w:top="1440" w:right="1440" w:bottom="1440" w:left="1440" w:header="708" w:footer="708" w:gutter="0"/>
          <w:cols w:space="708"/>
          <w:docGrid w:linePitch="360"/>
        </w:sectPr>
      </w:pPr>
    </w:p>
    <w:p w14:paraId="7C614C75" w14:textId="6474188E" w:rsidR="00850306" w:rsidRPr="007C5697" w:rsidRDefault="001E3A51" w:rsidP="003D15A6">
      <w:pPr>
        <w:jc w:val="both"/>
      </w:pPr>
      <w:r w:rsidRPr="007C5697">
        <w:t>Although many interventions are stil</w:t>
      </w:r>
      <w:r w:rsidR="00AD5C75">
        <w:t>l at a relatively early stage of</w:t>
      </w:r>
      <w:r w:rsidRPr="007C5697">
        <w:t xml:space="preserve"> implementation, a</w:t>
      </w:r>
      <w:r w:rsidR="00850306" w:rsidRPr="007C5697">
        <w:t>cross</w:t>
      </w:r>
      <w:r w:rsidRPr="007C5697">
        <w:t xml:space="preserve"> both</w:t>
      </w:r>
      <w:r w:rsidR="00850306" w:rsidRPr="007C5697">
        <w:t xml:space="preserve"> VRU and non-VRU areas there were lots of </w:t>
      </w:r>
      <w:r w:rsidR="00FE59D0">
        <w:t>early reports</w:t>
      </w:r>
      <w:r w:rsidR="00850306" w:rsidRPr="007C5697">
        <w:t xml:space="preserve"> of success</w:t>
      </w:r>
      <w:r w:rsidRPr="007C5697">
        <w:t xml:space="preserve">ful implementation and </w:t>
      </w:r>
      <w:r w:rsidR="00850306" w:rsidRPr="007C5697">
        <w:t xml:space="preserve">impact. </w:t>
      </w:r>
      <w:r w:rsidR="00277F2B" w:rsidRPr="007C5697">
        <w:t>Several areas reported that their focus on violence reduction had helped to develop increased provisions in sup</w:t>
      </w:r>
      <w:r w:rsidR="00725140">
        <w:t>port for those in need; buil</w:t>
      </w:r>
      <w:r w:rsidR="00D0506E">
        <w:t>d</w:t>
      </w:r>
      <w:r w:rsidR="00277F2B" w:rsidRPr="007C5697">
        <w:t xml:space="preserve"> links to employers [thus building positive futures for young people]</w:t>
      </w:r>
      <w:r w:rsidR="00396E86" w:rsidRPr="00396E86">
        <w:t xml:space="preserve"> </w:t>
      </w:r>
      <w:r w:rsidR="00396E86">
        <w:t xml:space="preserve">and </w:t>
      </w:r>
      <w:r w:rsidR="00396E86" w:rsidRPr="007C5697">
        <w:t>improv</w:t>
      </w:r>
      <w:r w:rsidR="00D0506E">
        <w:t xml:space="preserve">e </w:t>
      </w:r>
      <w:r w:rsidR="00396E86" w:rsidRPr="007C5697">
        <w:t>inter-agency working</w:t>
      </w:r>
      <w:r w:rsidR="00277F2B" w:rsidRPr="007C5697">
        <w:t xml:space="preserve">. </w:t>
      </w:r>
      <w:r w:rsidR="00396E86">
        <w:t xml:space="preserve">Indeed, the range of agencies involved in </w:t>
      </w:r>
      <w:r w:rsidR="00D0506E">
        <w:t xml:space="preserve">these </w:t>
      </w:r>
      <w:r w:rsidR="00396E86">
        <w:t>provision</w:t>
      </w:r>
      <w:r w:rsidR="00D0506E">
        <w:t xml:space="preserve">s </w:t>
      </w:r>
      <w:r w:rsidR="00396E86">
        <w:t xml:space="preserve">is probably not surprising considering the </w:t>
      </w:r>
      <w:r w:rsidR="00A15802">
        <w:t>long-standing focus on inter</w:t>
      </w:r>
      <w:r w:rsidR="00396E86">
        <w:t xml:space="preserve">-agency working </w:t>
      </w:r>
      <w:r w:rsidR="00725140">
        <w:t>initial</w:t>
      </w:r>
      <w:r w:rsidR="00FE59D0">
        <w:t>ly</w:t>
      </w:r>
      <w:r w:rsidR="00725140">
        <w:t xml:space="preserve"> </w:t>
      </w:r>
      <w:r w:rsidR="00396E86">
        <w:t xml:space="preserve">set out in the Crime and </w:t>
      </w:r>
      <w:r w:rsidR="00A15802">
        <w:t>Disorder</w:t>
      </w:r>
      <w:r w:rsidR="00396E86">
        <w:t xml:space="preserve"> Act of 1998 (See Berry </w:t>
      </w:r>
      <w:r w:rsidR="00396E86" w:rsidRPr="00BB419C">
        <w:rPr>
          <w:i/>
        </w:rPr>
        <w:t>et al</w:t>
      </w:r>
      <w:r w:rsidR="00D0506E">
        <w:rPr>
          <w:i/>
        </w:rPr>
        <w:t>.</w:t>
      </w:r>
      <w:r w:rsidR="00396E86">
        <w:t xml:space="preserve">, </w:t>
      </w:r>
      <w:r w:rsidR="00E41C57">
        <w:t>2009</w:t>
      </w:r>
      <w:r w:rsidR="00A15802">
        <w:t>),</w:t>
      </w:r>
      <w:r w:rsidR="00396E86">
        <w:t xml:space="preserve"> </w:t>
      </w:r>
      <w:r w:rsidR="00A15802">
        <w:t xml:space="preserve">the </w:t>
      </w:r>
      <w:r w:rsidR="00396E86">
        <w:t>emphases on public health approaches</w:t>
      </w:r>
      <w:r w:rsidR="00A15802">
        <w:t xml:space="preserve"> set out in the Serious Violence Strategy (HM Government, 2018) and </w:t>
      </w:r>
      <w:r w:rsidR="002A5358">
        <w:t xml:space="preserve">the </w:t>
      </w:r>
      <w:r w:rsidR="00396E86">
        <w:t xml:space="preserve">forthcoming public duty on agencies </w:t>
      </w:r>
      <w:r w:rsidR="00396E86" w:rsidRPr="00A15802">
        <w:rPr>
          <w:rFonts w:cstheme="minorHAnsi"/>
          <w:color w:val="0B0C0C"/>
          <w:shd w:val="clear" w:color="auto" w:fill="FFFFFF"/>
        </w:rPr>
        <w:t>to tackle serious violence</w:t>
      </w:r>
      <w:r w:rsidR="00E41C57">
        <w:t xml:space="preserve"> (Home Office, 2019</w:t>
      </w:r>
      <w:r w:rsidR="00396E86">
        <w:t>)</w:t>
      </w:r>
      <w:r w:rsidR="00557E9B">
        <w:rPr>
          <w:rStyle w:val="FootnoteReference"/>
        </w:rPr>
        <w:footnoteReference w:id="3"/>
      </w:r>
      <w:r w:rsidR="00725140">
        <w:t>. That said, the range</w:t>
      </w:r>
      <w:r w:rsidR="00A15802">
        <w:t xml:space="preserve"> of inter-agency work is impressive and appears to be generating </w:t>
      </w:r>
      <w:r w:rsidR="00277F2B" w:rsidRPr="007C5697">
        <w:t>several positive early indicators of success including</w:t>
      </w:r>
      <w:r w:rsidRPr="007C5697">
        <w:t>:</w:t>
      </w:r>
    </w:p>
    <w:p w14:paraId="74FEC9AF" w14:textId="181E247A" w:rsidR="00850306" w:rsidRPr="007C5697" w:rsidRDefault="001E3A51" w:rsidP="00277F2B">
      <w:pPr>
        <w:pStyle w:val="ListParagraph"/>
        <w:numPr>
          <w:ilvl w:val="0"/>
          <w:numId w:val="9"/>
        </w:numPr>
      </w:pPr>
      <w:r w:rsidRPr="007C5697">
        <w:t>The growing number of referrals to interventions</w:t>
      </w:r>
      <w:r w:rsidR="00277F2B" w:rsidRPr="007C5697">
        <w:t>;</w:t>
      </w:r>
      <w:r w:rsidR="00850306" w:rsidRPr="007C5697">
        <w:t xml:space="preserve"> </w:t>
      </w:r>
    </w:p>
    <w:p w14:paraId="14393953" w14:textId="69301C2D" w:rsidR="00850306" w:rsidRPr="007C5697" w:rsidRDefault="00277F2B" w:rsidP="00277F2B">
      <w:pPr>
        <w:pStyle w:val="ListParagraph"/>
        <w:numPr>
          <w:ilvl w:val="0"/>
          <w:numId w:val="9"/>
        </w:numPr>
      </w:pPr>
      <w:r w:rsidRPr="007C5697">
        <w:t>Observed improvements in the</w:t>
      </w:r>
      <w:r w:rsidR="00850306" w:rsidRPr="007C5697">
        <w:t xml:space="preserve"> mental health</w:t>
      </w:r>
      <w:r w:rsidR="00D0506E">
        <w:t xml:space="preserve"> and </w:t>
      </w:r>
      <w:r w:rsidR="00850306" w:rsidRPr="007C5697">
        <w:t>well-being</w:t>
      </w:r>
      <w:r w:rsidRPr="007C5697">
        <w:t xml:space="preserve"> of young people;</w:t>
      </w:r>
    </w:p>
    <w:p w14:paraId="03EFCDC2" w14:textId="22097B07" w:rsidR="00850306" w:rsidRPr="007C5697" w:rsidRDefault="00277F2B" w:rsidP="00277F2B">
      <w:pPr>
        <w:pStyle w:val="ListParagraph"/>
        <w:numPr>
          <w:ilvl w:val="0"/>
          <w:numId w:val="9"/>
        </w:numPr>
      </w:pPr>
      <w:r w:rsidRPr="007C5697">
        <w:t>Positive feedback on employment success;</w:t>
      </w:r>
    </w:p>
    <w:p w14:paraId="69966DE2" w14:textId="6A4588C7" w:rsidR="00850306" w:rsidRPr="007C5697" w:rsidRDefault="00850306" w:rsidP="00277F2B">
      <w:pPr>
        <w:pStyle w:val="ListParagraph"/>
        <w:numPr>
          <w:ilvl w:val="0"/>
          <w:numId w:val="9"/>
        </w:numPr>
      </w:pPr>
      <w:r w:rsidRPr="007C5697">
        <w:t>Changes</w:t>
      </w:r>
      <w:r w:rsidR="009622E6" w:rsidRPr="007C5697">
        <w:t>/reductions</w:t>
      </w:r>
      <w:r w:rsidRPr="007C5697">
        <w:t xml:space="preserve"> in crime levels</w:t>
      </w:r>
      <w:r w:rsidR="00277F2B" w:rsidRPr="007C5697">
        <w:t>;</w:t>
      </w:r>
      <w:r w:rsidRPr="007C5697">
        <w:t xml:space="preserve"> </w:t>
      </w:r>
    </w:p>
    <w:p w14:paraId="7F8B7115" w14:textId="7B8459AE" w:rsidR="00850306" w:rsidRDefault="00850306" w:rsidP="00277F2B">
      <w:pPr>
        <w:pStyle w:val="ListParagraph"/>
        <w:numPr>
          <w:ilvl w:val="0"/>
          <w:numId w:val="9"/>
        </w:numPr>
      </w:pPr>
      <w:r w:rsidRPr="007C5697">
        <w:t>Reductions in weapons offences</w:t>
      </w:r>
      <w:r w:rsidR="00277F2B" w:rsidRPr="007C5697">
        <w:t>;</w:t>
      </w:r>
    </w:p>
    <w:p w14:paraId="097284EA" w14:textId="5D3948CF" w:rsidR="007C5697" w:rsidRPr="007C5697" w:rsidRDefault="007C5697" w:rsidP="007C5697">
      <w:pPr>
        <w:pStyle w:val="ListParagraph"/>
        <w:numPr>
          <w:ilvl w:val="0"/>
          <w:numId w:val="9"/>
        </w:numPr>
      </w:pPr>
      <w:r w:rsidRPr="007C5697">
        <w:t>Independent evaluation</w:t>
      </w:r>
      <w:r w:rsidR="00725140">
        <w:t>s that have</w:t>
      </w:r>
      <w:r>
        <w:t xml:space="preserve"> suggested</w:t>
      </w:r>
      <w:r w:rsidRPr="007C5697">
        <w:t xml:space="preserve"> successful outcomes</w:t>
      </w:r>
      <w:r w:rsidR="00D0506E">
        <w:t>.</w:t>
      </w:r>
    </w:p>
    <w:p w14:paraId="20B02F53" w14:textId="79AB1B6A" w:rsidR="009622E6" w:rsidRPr="007C5697" w:rsidRDefault="00436BD3" w:rsidP="00E41C57">
      <w:pPr>
        <w:jc w:val="both"/>
      </w:pPr>
      <w:r>
        <w:lastRenderedPageBreak/>
        <w:t xml:space="preserve">This is in line with </w:t>
      </w:r>
      <w:proofErr w:type="spellStart"/>
      <w:r>
        <w:t>C</w:t>
      </w:r>
      <w:r w:rsidR="00A15802">
        <w:t>r</w:t>
      </w:r>
      <w:r>
        <w:t>as</w:t>
      </w:r>
      <w:r w:rsidR="00A15802">
        <w:t>ton</w:t>
      </w:r>
      <w:proofErr w:type="spellEnd"/>
      <w:r>
        <w:t xml:space="preserve"> </w:t>
      </w:r>
      <w:r w:rsidRPr="00FE59D0">
        <w:rPr>
          <w:i/>
        </w:rPr>
        <w:t xml:space="preserve">et </w:t>
      </w:r>
      <w:r w:rsidRPr="00BB419C">
        <w:rPr>
          <w:i/>
        </w:rPr>
        <w:t>al</w:t>
      </w:r>
      <w:r w:rsidR="00D0506E">
        <w:rPr>
          <w:i/>
        </w:rPr>
        <w:t>.</w:t>
      </w:r>
      <w:r w:rsidR="00A15802">
        <w:t xml:space="preserve"> (2</w:t>
      </w:r>
      <w:r>
        <w:t xml:space="preserve">020) </w:t>
      </w:r>
      <w:r w:rsidR="003C1B01">
        <w:t>who</w:t>
      </w:r>
      <w:r w:rsidR="00FE59D0">
        <w:t xml:space="preserve"> also</w:t>
      </w:r>
      <w:r>
        <w:t xml:space="preserve"> report</w:t>
      </w:r>
      <w:r w:rsidR="00FE59D0">
        <w:t>ed</w:t>
      </w:r>
      <w:r>
        <w:t xml:space="preserve"> on the positive develop</w:t>
      </w:r>
      <w:r w:rsidR="00725140">
        <w:t>ment</w:t>
      </w:r>
      <w:r>
        <w:t xml:space="preserve"> of inter-agency approaches </w:t>
      </w:r>
      <w:r w:rsidR="00725140">
        <w:t xml:space="preserve">in VRU areas and </w:t>
      </w:r>
      <w:r>
        <w:t xml:space="preserve">some (perceived) early signs of success in the roll out of public health approaches.  </w:t>
      </w:r>
      <w:r w:rsidR="00277F2B" w:rsidRPr="007C5697">
        <w:t xml:space="preserve">Of course, areas reported challenges with the development and continued operation of interventions. Typical challenges included: </w:t>
      </w:r>
    </w:p>
    <w:p w14:paraId="2295712C" w14:textId="037DF098" w:rsidR="009622E6" w:rsidRPr="007C5697" w:rsidRDefault="007C5697" w:rsidP="00277F2B">
      <w:pPr>
        <w:pStyle w:val="ListParagraph"/>
        <w:numPr>
          <w:ilvl w:val="0"/>
          <w:numId w:val="10"/>
        </w:numPr>
      </w:pPr>
      <w:r>
        <w:t>Restrictions presented by</w:t>
      </w:r>
      <w:r w:rsidR="009622E6" w:rsidRPr="007C5697">
        <w:t xml:space="preserve"> Covid</w:t>
      </w:r>
      <w:r>
        <w:t xml:space="preserve"> and</w:t>
      </w:r>
      <w:r w:rsidR="00725140">
        <w:t xml:space="preserve"> subsequent</w:t>
      </w:r>
      <w:r>
        <w:t xml:space="preserve"> changes in working practices;</w:t>
      </w:r>
      <w:r w:rsidR="009622E6" w:rsidRPr="007C5697">
        <w:t xml:space="preserve"> </w:t>
      </w:r>
    </w:p>
    <w:p w14:paraId="3B7B065E" w14:textId="0EBAAC32" w:rsidR="009622E6" w:rsidRPr="007C5697" w:rsidRDefault="00277F2B" w:rsidP="00277F2B">
      <w:pPr>
        <w:pStyle w:val="ListParagraph"/>
        <w:numPr>
          <w:ilvl w:val="0"/>
          <w:numId w:val="10"/>
        </w:numPr>
      </w:pPr>
      <w:r w:rsidRPr="007C5697">
        <w:t>The need for more resource</w:t>
      </w:r>
      <w:r w:rsidR="007C5697">
        <w:t>s</w:t>
      </w:r>
      <w:r w:rsidRPr="007C5697">
        <w:t>/</w:t>
      </w:r>
      <w:r w:rsidR="009622E6" w:rsidRPr="007C5697">
        <w:t>staff</w:t>
      </w:r>
      <w:r w:rsidR="007C5697">
        <w:t>;</w:t>
      </w:r>
    </w:p>
    <w:p w14:paraId="051A5ABB" w14:textId="130361B4" w:rsidR="009622E6" w:rsidRPr="007C5697" w:rsidRDefault="00277F2B" w:rsidP="00277F2B">
      <w:pPr>
        <w:pStyle w:val="ListParagraph"/>
        <w:numPr>
          <w:ilvl w:val="0"/>
          <w:numId w:val="10"/>
        </w:numPr>
      </w:pPr>
      <w:r w:rsidRPr="007C5697">
        <w:t>Uncertainly over</w:t>
      </w:r>
      <w:r w:rsidR="00407350">
        <w:t xml:space="preserve"> </w:t>
      </w:r>
      <w:r w:rsidRPr="007C5697">
        <w:t>lack of longer term funding</w:t>
      </w:r>
      <w:r w:rsidR="007C5697">
        <w:t>;</w:t>
      </w:r>
    </w:p>
    <w:p w14:paraId="50F1C91E" w14:textId="78FC706B" w:rsidR="009622E6" w:rsidRPr="007C5697" w:rsidRDefault="003D15A6" w:rsidP="00277F2B">
      <w:pPr>
        <w:pStyle w:val="ListParagraph"/>
        <w:numPr>
          <w:ilvl w:val="0"/>
          <w:numId w:val="10"/>
        </w:numPr>
      </w:pPr>
      <w:r w:rsidRPr="007C5697">
        <w:t xml:space="preserve">Uncertainty over the success of interventions due </w:t>
      </w:r>
      <w:r w:rsidR="00407350">
        <w:t xml:space="preserve">to </w:t>
      </w:r>
      <w:r w:rsidRPr="007C5697">
        <w:t>th</w:t>
      </w:r>
      <w:r w:rsidR="00407350">
        <w:t>e</w:t>
      </w:r>
      <w:r w:rsidRPr="007C5697">
        <w:t xml:space="preserve"> requir</w:t>
      </w:r>
      <w:r w:rsidR="00407350">
        <w:t>ement for</w:t>
      </w:r>
      <w:r w:rsidRPr="007C5697">
        <w:t xml:space="preserve"> long term </w:t>
      </w:r>
      <w:r w:rsidR="007C5697">
        <w:t>monitoring and evaluation</w:t>
      </w:r>
      <w:r w:rsidR="00436BD3">
        <w:t>;</w:t>
      </w:r>
    </w:p>
    <w:p w14:paraId="0503D34C" w14:textId="77DB077A" w:rsidR="009622E6" w:rsidRPr="007C5697" w:rsidRDefault="009622E6" w:rsidP="00277F2B">
      <w:pPr>
        <w:pStyle w:val="ListParagraph"/>
        <w:numPr>
          <w:ilvl w:val="0"/>
          <w:numId w:val="10"/>
        </w:numPr>
      </w:pPr>
      <w:r w:rsidRPr="007C5697">
        <w:t xml:space="preserve">Problems </w:t>
      </w:r>
      <w:r w:rsidR="002C0E57">
        <w:t xml:space="preserve">encountered with </w:t>
      </w:r>
      <w:r w:rsidR="00436BD3">
        <w:t xml:space="preserve">obtaining data in relation to </w:t>
      </w:r>
      <w:r w:rsidR="002C0E57">
        <w:t xml:space="preserve">the measurement of outputs and outcomes. </w:t>
      </w:r>
    </w:p>
    <w:p w14:paraId="33B757C9" w14:textId="4F7511D9" w:rsidR="009A3A9B" w:rsidRPr="00064937" w:rsidRDefault="009A3A9B">
      <w:pPr>
        <w:rPr>
          <w:b/>
          <w:color w:val="2E74B5" w:themeColor="accent1" w:themeShade="BF"/>
          <w:sz w:val="24"/>
          <w:szCs w:val="24"/>
        </w:rPr>
      </w:pPr>
      <w:r w:rsidRPr="00064937">
        <w:rPr>
          <w:b/>
          <w:color w:val="2E74B5" w:themeColor="accent1" w:themeShade="BF"/>
          <w:sz w:val="24"/>
          <w:szCs w:val="24"/>
        </w:rPr>
        <w:t xml:space="preserve">Summary </w:t>
      </w:r>
      <w:r w:rsidR="000D175E" w:rsidRPr="00064937">
        <w:rPr>
          <w:b/>
          <w:color w:val="2E74B5" w:themeColor="accent1" w:themeShade="BF"/>
          <w:sz w:val="24"/>
          <w:szCs w:val="24"/>
        </w:rPr>
        <w:t xml:space="preserve">and </w:t>
      </w:r>
      <w:r w:rsidR="00A76BBE" w:rsidRPr="00064937">
        <w:rPr>
          <w:b/>
          <w:color w:val="2E74B5" w:themeColor="accent1" w:themeShade="BF"/>
          <w:sz w:val="24"/>
          <w:szCs w:val="24"/>
        </w:rPr>
        <w:t xml:space="preserve">key </w:t>
      </w:r>
      <w:r w:rsidR="000D175E" w:rsidRPr="00064937">
        <w:rPr>
          <w:b/>
          <w:color w:val="2E74B5" w:themeColor="accent1" w:themeShade="BF"/>
          <w:sz w:val="24"/>
          <w:szCs w:val="24"/>
        </w:rPr>
        <w:t>implications</w:t>
      </w:r>
    </w:p>
    <w:p w14:paraId="680E9D6D" w14:textId="46C4E48E" w:rsidR="00674684" w:rsidRPr="00D876C9" w:rsidRDefault="00D876C9" w:rsidP="00D523ED">
      <w:pPr>
        <w:jc w:val="both"/>
      </w:pPr>
      <w:r w:rsidRPr="00D876C9">
        <w:t>It is evident that a wide range of interventions are being implemented to tackle public space violence across the East Midlands. As might be expected</w:t>
      </w:r>
      <w:r w:rsidR="00725140">
        <w:t>,</w:t>
      </w:r>
      <w:r w:rsidRPr="00D876C9">
        <w:t xml:space="preserve"> when public health approaches are rolled out, these interventions involve a deal of inter-agency working and attempt to facilitate change through a variety of mechanisms. </w:t>
      </w:r>
      <w:r>
        <w:t xml:space="preserve">The agencies that implement interventions </w:t>
      </w:r>
      <w:r w:rsidR="00725140">
        <w:t xml:space="preserve">also </w:t>
      </w:r>
      <w:r>
        <w:t xml:space="preserve">recognise </w:t>
      </w:r>
      <w:r w:rsidR="00641F3B">
        <w:t xml:space="preserve">that </w:t>
      </w:r>
      <w:r>
        <w:t xml:space="preserve">developing an understanding of ‘what works’ is essential in relation to their work. This is evidenced by the range of outcome </w:t>
      </w:r>
      <w:r w:rsidR="003C1B01">
        <w:t>indicators</w:t>
      </w:r>
      <w:r>
        <w:t xml:space="preserve"> in place. </w:t>
      </w:r>
      <w:r w:rsidR="00641F3B">
        <w:t xml:space="preserve">Some were also able to cite examples of </w:t>
      </w:r>
      <w:r w:rsidR="00725140">
        <w:t>‘</w:t>
      </w:r>
      <w:r w:rsidR="00641F3B">
        <w:t>hard</w:t>
      </w:r>
      <w:r w:rsidR="00725140">
        <w:t>’</w:t>
      </w:r>
      <w:r w:rsidR="00641F3B">
        <w:t xml:space="preserve"> measures of outcome success and softer more ‘anecdotal’ information about how certain interventions appear to be working.    </w:t>
      </w:r>
      <w:r>
        <w:t xml:space="preserve">   </w:t>
      </w:r>
      <w:r w:rsidR="00674684" w:rsidRPr="00D876C9">
        <w:t xml:space="preserve"> </w:t>
      </w:r>
    </w:p>
    <w:p w14:paraId="1DC8D17A" w14:textId="4FFF5F9E" w:rsidR="00641F3B" w:rsidRPr="00641F3B" w:rsidRDefault="00641F3B" w:rsidP="00D523ED">
      <w:pPr>
        <w:jc w:val="both"/>
      </w:pPr>
      <w:r w:rsidRPr="00641F3B">
        <w:t xml:space="preserve">Although all areas cite challenges, the evidence suggests the signs are positive for the region. However, </w:t>
      </w:r>
      <w:r w:rsidR="006C7332">
        <w:t>in order to develop the knowledge base</w:t>
      </w:r>
      <w:r w:rsidR="00306881">
        <w:t>, it i</w:t>
      </w:r>
      <w:r w:rsidR="00F72E98">
        <w:t>s suggested there should be five</w:t>
      </w:r>
      <w:r w:rsidRPr="00641F3B">
        <w:t xml:space="preserve"> </w:t>
      </w:r>
      <w:r w:rsidR="00064937">
        <w:t xml:space="preserve">main </w:t>
      </w:r>
      <w:r w:rsidRPr="00641F3B">
        <w:t xml:space="preserve">areas </w:t>
      </w:r>
      <w:r w:rsidR="00306881">
        <w:t xml:space="preserve">of focus </w:t>
      </w:r>
      <w:r w:rsidRPr="00641F3B">
        <w:t xml:space="preserve">going forward:   </w:t>
      </w:r>
    </w:p>
    <w:p w14:paraId="658FD81F" w14:textId="26E176BF" w:rsidR="007C5697" w:rsidRDefault="00064937" w:rsidP="006C7332">
      <w:pPr>
        <w:pStyle w:val="ListParagraph"/>
        <w:numPr>
          <w:ilvl w:val="0"/>
          <w:numId w:val="11"/>
        </w:numPr>
        <w:jc w:val="both"/>
      </w:pPr>
      <w:r>
        <w:rPr>
          <w:b/>
          <w:i/>
        </w:rPr>
        <w:t>E</w:t>
      </w:r>
      <w:r w:rsidR="006C7332" w:rsidRPr="006C7332">
        <w:rPr>
          <w:b/>
          <w:i/>
        </w:rPr>
        <w:t>fficiency of interventions:</w:t>
      </w:r>
      <w:r w:rsidR="006C7332">
        <w:t xml:space="preserve"> it is clear that all interventions need to be </w:t>
      </w:r>
      <w:r w:rsidR="006C7332">
        <w:t>carefully evaluated to ascertain impact.</w:t>
      </w:r>
      <w:r w:rsidR="00A96E5C">
        <w:t xml:space="preserve"> This </w:t>
      </w:r>
      <w:r w:rsidR="003C1B01">
        <w:t>will</w:t>
      </w:r>
      <w:r w:rsidR="00A96E5C">
        <w:t xml:space="preserve"> add to the wider ‘what works’ knowledge base.</w:t>
      </w:r>
      <w:r w:rsidR="006C7332">
        <w:t xml:space="preserve"> Consideration might also be given </w:t>
      </w:r>
      <w:r w:rsidR="00040BE8">
        <w:t xml:space="preserve">to using more creative methodologies to </w:t>
      </w:r>
      <w:r w:rsidR="006C7332">
        <w:t>develop</w:t>
      </w:r>
      <w:r w:rsidR="00040BE8">
        <w:t xml:space="preserve"> robust</w:t>
      </w:r>
      <w:r w:rsidR="006C7332">
        <w:t xml:space="preserve"> evaluations of </w:t>
      </w:r>
      <w:r w:rsidR="00BB419C">
        <w:t>interventions</w:t>
      </w:r>
      <w:r w:rsidR="006C7332">
        <w:t xml:space="preserve"> </w:t>
      </w:r>
      <w:r w:rsidR="00BB419C">
        <w:t>where</w:t>
      </w:r>
      <w:r w:rsidR="006C7332">
        <w:t xml:space="preserve"> long-term</w:t>
      </w:r>
      <w:r w:rsidR="00BB419C">
        <w:t xml:space="preserve"> outcome measures </w:t>
      </w:r>
      <w:r w:rsidR="00040BE8">
        <w:t>would be useful</w:t>
      </w:r>
      <w:r w:rsidR="006C7332">
        <w:t xml:space="preserve"> </w:t>
      </w:r>
      <w:r w:rsidR="00D730F9">
        <w:t>(</w:t>
      </w:r>
      <w:r w:rsidR="00BB419C">
        <w:t>for example</w:t>
      </w:r>
      <w:r w:rsidR="006C7332">
        <w:t xml:space="preserve"> longitudinal studies of young people’s </w:t>
      </w:r>
      <w:r w:rsidR="007C4D65">
        <w:t>life trajectories</w:t>
      </w:r>
      <w:r w:rsidR="00D730F9">
        <w:t>)</w:t>
      </w:r>
      <w:r w:rsidR="006C7332">
        <w:t xml:space="preserve">. </w:t>
      </w:r>
    </w:p>
    <w:p w14:paraId="76DB7584" w14:textId="188F7E6A" w:rsidR="00BB419C" w:rsidRPr="00F72E98" w:rsidRDefault="00BB419C" w:rsidP="006C7332">
      <w:pPr>
        <w:pStyle w:val="ListParagraph"/>
        <w:numPr>
          <w:ilvl w:val="0"/>
          <w:numId w:val="11"/>
        </w:numPr>
        <w:jc w:val="both"/>
      </w:pPr>
      <w:r>
        <w:rPr>
          <w:b/>
          <w:i/>
        </w:rPr>
        <w:t>T</w:t>
      </w:r>
      <w:r w:rsidR="00F72E98">
        <w:rPr>
          <w:b/>
          <w:i/>
        </w:rPr>
        <w:t xml:space="preserve">easing out the impact of </w:t>
      </w:r>
      <w:r>
        <w:rPr>
          <w:b/>
          <w:i/>
        </w:rPr>
        <w:t>‘</w:t>
      </w:r>
      <w:r w:rsidR="00F72E98">
        <w:rPr>
          <w:b/>
          <w:i/>
        </w:rPr>
        <w:t xml:space="preserve">whole </w:t>
      </w:r>
      <w:r>
        <w:rPr>
          <w:b/>
          <w:i/>
        </w:rPr>
        <w:t>programme</w:t>
      </w:r>
      <w:r w:rsidR="00F72E98">
        <w:rPr>
          <w:b/>
          <w:i/>
        </w:rPr>
        <w:t>s</w:t>
      </w:r>
      <w:r>
        <w:rPr>
          <w:b/>
          <w:i/>
        </w:rPr>
        <w:t>’</w:t>
      </w:r>
      <w:r w:rsidR="00F72E98">
        <w:rPr>
          <w:b/>
          <w:i/>
        </w:rPr>
        <w:t xml:space="preserve"> versus the</w:t>
      </w:r>
      <w:r>
        <w:rPr>
          <w:b/>
          <w:i/>
        </w:rPr>
        <w:t xml:space="preserve"> </w:t>
      </w:r>
      <w:r w:rsidR="00F72E98">
        <w:rPr>
          <w:b/>
          <w:i/>
        </w:rPr>
        <w:t>impact individual ‘</w:t>
      </w:r>
      <w:r>
        <w:rPr>
          <w:b/>
          <w:i/>
        </w:rPr>
        <w:t>intervention</w:t>
      </w:r>
      <w:r w:rsidR="00F72E98">
        <w:rPr>
          <w:b/>
          <w:i/>
        </w:rPr>
        <w:t>s</w:t>
      </w:r>
      <w:r>
        <w:rPr>
          <w:b/>
          <w:i/>
        </w:rPr>
        <w:t xml:space="preserve">’: </w:t>
      </w:r>
      <w:r w:rsidR="00040BE8">
        <w:t>a</w:t>
      </w:r>
      <w:r w:rsidRPr="00F72E98">
        <w:t xml:space="preserve">s so many interventions are being implemented, a challenge </w:t>
      </w:r>
      <w:r w:rsidR="00040BE8">
        <w:t xml:space="preserve">for areas </w:t>
      </w:r>
      <w:r w:rsidRPr="00F72E98">
        <w:t>will be in understanding</w:t>
      </w:r>
      <w:r w:rsidR="00040BE8">
        <w:t xml:space="preserve"> whe</w:t>
      </w:r>
      <w:r w:rsidRPr="00F72E98">
        <w:t xml:space="preserve">ther outcomes are generated </w:t>
      </w:r>
      <w:r w:rsidR="00F72E98" w:rsidRPr="00F72E98">
        <w:t>as a result of whole programmes (i.e. system change and a multiple range of interventions) or by one or</w:t>
      </w:r>
      <w:r w:rsidR="00040BE8">
        <w:t xml:space="preserve"> two</w:t>
      </w:r>
      <w:r w:rsidR="00F72E98" w:rsidRPr="00F72E98">
        <w:t xml:space="preserve"> </w:t>
      </w:r>
      <w:r w:rsidR="00040BE8">
        <w:t xml:space="preserve">particularly effective </w:t>
      </w:r>
      <w:r w:rsidRPr="00F72E98">
        <w:t>interventions</w:t>
      </w:r>
      <w:r w:rsidR="00F72E98" w:rsidRPr="00F72E98">
        <w:t xml:space="preserve"> only. </w:t>
      </w:r>
      <w:r w:rsidRPr="00F72E98">
        <w:t xml:space="preserve"> </w:t>
      </w:r>
    </w:p>
    <w:p w14:paraId="1D26C4AB" w14:textId="0EF7E7E9" w:rsidR="00541EEE" w:rsidRDefault="00064937" w:rsidP="00541EEE">
      <w:pPr>
        <w:pStyle w:val="ListParagraph"/>
        <w:numPr>
          <w:ilvl w:val="0"/>
          <w:numId w:val="11"/>
        </w:numPr>
        <w:jc w:val="both"/>
      </w:pPr>
      <w:r>
        <w:rPr>
          <w:b/>
          <w:i/>
        </w:rPr>
        <w:t>P</w:t>
      </w:r>
      <w:r w:rsidR="00541EEE" w:rsidRPr="00A96E5C">
        <w:rPr>
          <w:b/>
          <w:i/>
        </w:rPr>
        <w:t>artnership development</w:t>
      </w:r>
      <w:r w:rsidR="00A96E5C" w:rsidRPr="00A96E5C">
        <w:rPr>
          <w:b/>
          <w:i/>
        </w:rPr>
        <w:t xml:space="preserve"> and working practices</w:t>
      </w:r>
      <w:r w:rsidR="00541EEE" w:rsidRPr="00A96E5C">
        <w:rPr>
          <w:b/>
          <w:i/>
        </w:rPr>
        <w:t>:</w:t>
      </w:r>
      <w:r w:rsidR="00A96E5C">
        <w:t xml:space="preserve"> with emphasis on partnership working, it would be beneficial for the region to understand how partnerships are being developed, what types of </w:t>
      </w:r>
      <w:r w:rsidR="007C4D65">
        <w:t xml:space="preserve">partnership </w:t>
      </w:r>
      <w:r w:rsidR="00A96E5C">
        <w:t xml:space="preserve">models exist and </w:t>
      </w:r>
      <w:r w:rsidR="007C4D65">
        <w:t xml:space="preserve">which are most successful at </w:t>
      </w:r>
      <w:r w:rsidR="00A96E5C">
        <w:t>deliver</w:t>
      </w:r>
      <w:r w:rsidR="007C4D65">
        <w:t>ing effective</w:t>
      </w:r>
      <w:r w:rsidR="00A96E5C">
        <w:t xml:space="preserve"> interventions. </w:t>
      </w:r>
    </w:p>
    <w:p w14:paraId="37D69790" w14:textId="47687EF8" w:rsidR="00541EEE" w:rsidRDefault="00A96E5C" w:rsidP="00541EEE">
      <w:pPr>
        <w:pStyle w:val="ListParagraph"/>
        <w:numPr>
          <w:ilvl w:val="0"/>
          <w:numId w:val="11"/>
        </w:numPr>
        <w:jc w:val="both"/>
      </w:pPr>
      <w:r w:rsidRPr="00A96E5C">
        <w:rPr>
          <w:b/>
          <w:i/>
        </w:rPr>
        <w:t xml:space="preserve">Understanding the differences between </w:t>
      </w:r>
      <w:r w:rsidR="00541EEE" w:rsidRPr="00A96E5C">
        <w:rPr>
          <w:b/>
          <w:i/>
        </w:rPr>
        <w:t>VRU</w:t>
      </w:r>
      <w:r w:rsidRPr="00A96E5C">
        <w:rPr>
          <w:b/>
          <w:i/>
        </w:rPr>
        <w:t xml:space="preserve"> and</w:t>
      </w:r>
      <w:r w:rsidR="00541EEE" w:rsidRPr="00A96E5C">
        <w:rPr>
          <w:b/>
          <w:i/>
        </w:rPr>
        <w:t xml:space="preserve"> non VRU</w:t>
      </w:r>
      <w:r w:rsidRPr="00A96E5C">
        <w:rPr>
          <w:b/>
          <w:i/>
        </w:rPr>
        <w:t xml:space="preserve"> areas:</w:t>
      </w:r>
      <w:r w:rsidR="00B9572E">
        <w:t xml:space="preserve"> </w:t>
      </w:r>
      <w:r w:rsidR="00064937">
        <w:t xml:space="preserve">with two areas in region being VRU funded, </w:t>
      </w:r>
      <w:r w:rsidR="007C4D65">
        <w:t xml:space="preserve">there is a good </w:t>
      </w:r>
      <w:r w:rsidR="00064937">
        <w:t xml:space="preserve">opportunity to </w:t>
      </w:r>
      <w:r w:rsidR="007C4D65">
        <w:t xml:space="preserve">explore </w:t>
      </w:r>
      <w:r w:rsidR="00064937">
        <w:t>how this funding</w:t>
      </w:r>
      <w:r w:rsidR="007C4D65">
        <w:t xml:space="preserve"> can</w:t>
      </w:r>
      <w:r w:rsidR="00064937">
        <w:t xml:space="preserve"> </w:t>
      </w:r>
      <w:r w:rsidR="007C4D65">
        <w:t xml:space="preserve">generate </w:t>
      </w:r>
      <w:r w:rsidR="00064937">
        <w:t>new approaches</w:t>
      </w:r>
      <w:r w:rsidR="007C4D65">
        <w:t xml:space="preserve"> to violence reduction and deliver effective</w:t>
      </w:r>
      <w:r w:rsidR="00064937">
        <w:t xml:space="preserve"> outcomes. </w:t>
      </w:r>
      <w:r w:rsidR="00B9572E">
        <w:t xml:space="preserve"> </w:t>
      </w:r>
    </w:p>
    <w:p w14:paraId="13BA5403" w14:textId="5B29C07C" w:rsidR="00674684" w:rsidRPr="00064937" w:rsidRDefault="00064937" w:rsidP="00BF6476">
      <w:pPr>
        <w:pStyle w:val="ListParagraph"/>
        <w:numPr>
          <w:ilvl w:val="0"/>
          <w:numId w:val="11"/>
        </w:numPr>
        <w:jc w:val="both"/>
      </w:pPr>
      <w:r>
        <w:rPr>
          <w:b/>
          <w:i/>
        </w:rPr>
        <w:t>L</w:t>
      </w:r>
      <w:r w:rsidR="00541EEE" w:rsidRPr="00064937">
        <w:rPr>
          <w:b/>
          <w:i/>
        </w:rPr>
        <w:t xml:space="preserve">ong term </w:t>
      </w:r>
      <w:r w:rsidRPr="00064937">
        <w:rPr>
          <w:b/>
          <w:i/>
        </w:rPr>
        <w:t>sustainability:</w:t>
      </w:r>
      <w:r w:rsidRPr="00064937">
        <w:rPr>
          <w:i/>
        </w:rPr>
        <w:t xml:space="preserve"> </w:t>
      </w:r>
      <w:r w:rsidR="007C4D65">
        <w:t>the c</w:t>
      </w:r>
      <w:r w:rsidRPr="00064937">
        <w:t xml:space="preserve">urrent public health </w:t>
      </w:r>
      <w:r w:rsidR="007C4D65">
        <w:t>focus</w:t>
      </w:r>
      <w:r w:rsidRPr="00064937">
        <w:t xml:space="preserve"> </w:t>
      </w:r>
      <w:r w:rsidR="007C4D65">
        <w:t>is</w:t>
      </w:r>
      <w:r w:rsidRPr="00064937">
        <w:t xml:space="preserve"> built on the notion of developing long-term approaches. Monitoring how sustainable current partnership arrangements are and what long-term good practice is fostered would </w:t>
      </w:r>
      <w:r w:rsidR="007C4D65">
        <w:t xml:space="preserve">also </w:t>
      </w:r>
      <w:r w:rsidRPr="00064937">
        <w:t>be useful in building knowledge of ‘what works’</w:t>
      </w:r>
      <w:r w:rsidR="00040BE8">
        <w:t xml:space="preserve"> in relation to public health approaches to violence reduction</w:t>
      </w:r>
      <w:r w:rsidRPr="00064937">
        <w:t xml:space="preserve">.   </w:t>
      </w:r>
    </w:p>
    <w:p w14:paraId="554F962F" w14:textId="77777777" w:rsidR="00BE5D21" w:rsidRPr="00064937" w:rsidRDefault="00BE5D21">
      <w:pPr>
        <w:rPr>
          <w:b/>
          <w:color w:val="2E74B5" w:themeColor="accent1" w:themeShade="BF"/>
          <w:sz w:val="24"/>
          <w:szCs w:val="24"/>
        </w:rPr>
      </w:pPr>
      <w:r w:rsidRPr="00064937">
        <w:rPr>
          <w:b/>
          <w:color w:val="2E74B5" w:themeColor="accent1" w:themeShade="BF"/>
          <w:sz w:val="24"/>
          <w:szCs w:val="24"/>
        </w:rPr>
        <w:lastRenderedPageBreak/>
        <w:t>Acknowledgements</w:t>
      </w:r>
    </w:p>
    <w:p w14:paraId="00106695" w14:textId="208DEED6" w:rsidR="00BE5D21" w:rsidRPr="00BE5D21" w:rsidRDefault="00BE5D21" w:rsidP="00A06714">
      <w:pPr>
        <w:jc w:val="both"/>
      </w:pPr>
      <w:r w:rsidRPr="006D6D06">
        <w:t>We would like to thank</w:t>
      </w:r>
      <w:r w:rsidR="0093489A" w:rsidRPr="006D6D06">
        <w:t xml:space="preserve"> al</w:t>
      </w:r>
      <w:r w:rsidR="006D6D06">
        <w:t xml:space="preserve">l </w:t>
      </w:r>
      <w:r w:rsidR="00407350" w:rsidRPr="006D6D06">
        <w:t xml:space="preserve">our stakeholders in our partner forces for </w:t>
      </w:r>
      <w:r w:rsidR="006D6D06">
        <w:t xml:space="preserve">compiling </w:t>
      </w:r>
      <w:r w:rsidR="00407350" w:rsidRPr="006D6D06">
        <w:t xml:space="preserve">the </w:t>
      </w:r>
      <w:r w:rsidR="006D6D06">
        <w:t>information</w:t>
      </w:r>
      <w:r w:rsidR="00407350" w:rsidRPr="006D6D06">
        <w:t xml:space="preserve"> used to </w:t>
      </w:r>
      <w:r w:rsidR="006D6D06">
        <w:t xml:space="preserve">inform </w:t>
      </w:r>
      <w:r w:rsidR="00407350" w:rsidRPr="006D6D06">
        <w:t>this discussion paper. Special thanks are due to: Nicole Plummer</w:t>
      </w:r>
      <w:r w:rsidR="00E84010">
        <w:t xml:space="preserve"> and Ric Ellis</w:t>
      </w:r>
      <w:r w:rsidR="00407350" w:rsidRPr="006D6D06">
        <w:t xml:space="preserve"> (Northamptonshire Police); Natalie Baker-Swift (Nottinghamshire Police); Lee </w:t>
      </w:r>
      <w:proofErr w:type="spellStart"/>
      <w:r w:rsidR="00407350" w:rsidRPr="006D6D06">
        <w:t>Pache</w:t>
      </w:r>
      <w:proofErr w:type="spellEnd"/>
      <w:r w:rsidR="00407350" w:rsidRPr="006D6D06">
        <w:t xml:space="preserve"> (Lincolnshire Police); </w:t>
      </w:r>
      <w:r w:rsidR="006D6D06" w:rsidRPr="006D6D06">
        <w:t>Stev</w:t>
      </w:r>
      <w:r w:rsidR="00CB600D">
        <w:t>i</w:t>
      </w:r>
      <w:r w:rsidR="006D6D06" w:rsidRPr="006D6D06">
        <w:t>e-Jade Hardy (Leicestershire Police); and Richard Keene (Derbyshire Police) who pulled together th</w:t>
      </w:r>
      <w:r w:rsidR="006D6D06">
        <w:t xml:space="preserve">e force reports </w:t>
      </w:r>
      <w:r w:rsidR="006D6D06" w:rsidRPr="006D6D06">
        <w:t xml:space="preserve">and all their in-force colleagues who helped to </w:t>
      </w:r>
      <w:r w:rsidR="006D6D06">
        <w:t>supply</w:t>
      </w:r>
      <w:r w:rsidR="006D6D06" w:rsidRPr="006D6D06">
        <w:t xml:space="preserve"> </w:t>
      </w:r>
      <w:r w:rsidR="006D6D06">
        <w:t>the data</w:t>
      </w:r>
      <w:r w:rsidR="006D6D06" w:rsidRPr="006D6D06">
        <w:t>.</w:t>
      </w:r>
    </w:p>
    <w:p w14:paraId="545637CC" w14:textId="77777777" w:rsidR="001D33B8" w:rsidRDefault="001D33B8">
      <w:pPr>
        <w:rPr>
          <w:b/>
          <w:sz w:val="24"/>
          <w:szCs w:val="24"/>
        </w:rPr>
      </w:pPr>
      <w:r w:rsidRPr="00064937">
        <w:rPr>
          <w:b/>
          <w:color w:val="2E74B5" w:themeColor="accent1" w:themeShade="BF"/>
          <w:sz w:val="24"/>
          <w:szCs w:val="24"/>
        </w:rPr>
        <w:t>References</w:t>
      </w:r>
      <w:r w:rsidRPr="00B72B89">
        <w:rPr>
          <w:b/>
          <w:sz w:val="24"/>
          <w:szCs w:val="24"/>
        </w:rPr>
        <w:t xml:space="preserve"> </w:t>
      </w:r>
    </w:p>
    <w:p w14:paraId="5C52BF8C" w14:textId="597EEEC2" w:rsidR="00436BD3" w:rsidRDefault="00E41C57" w:rsidP="00A70692">
      <w:pPr>
        <w:jc w:val="both"/>
        <w:rPr>
          <w:rFonts w:eastAsia="Times New Roman" w:cstheme="minorHAnsi"/>
          <w:color w:val="333333"/>
          <w:lang w:eastAsia="en-GB"/>
        </w:rPr>
      </w:pPr>
      <w:r>
        <w:t xml:space="preserve">Berry, G., Briggs, P., Erol, R. &amp; van </w:t>
      </w:r>
      <w:proofErr w:type="spellStart"/>
      <w:r>
        <w:t>Staden</w:t>
      </w:r>
      <w:proofErr w:type="spellEnd"/>
      <w:r>
        <w:t>, L. (2009)</w:t>
      </w:r>
      <w:r w:rsidRPr="00E41C57">
        <w:t xml:space="preserve"> </w:t>
      </w:r>
      <w:r w:rsidR="00436BD3" w:rsidRPr="00E41C57">
        <w:rPr>
          <w:i/>
        </w:rPr>
        <w:t>The effectiveness of partnership working in a crime and disorder context A rapid evidence assessment</w:t>
      </w:r>
      <w:r>
        <w:rPr>
          <w:i/>
        </w:rPr>
        <w:t xml:space="preserve">. </w:t>
      </w:r>
      <w:r w:rsidRPr="00E41C57">
        <w:t>Home Office Research Report</w:t>
      </w:r>
      <w:r w:rsidR="00407350">
        <w:t xml:space="preserve"> </w:t>
      </w:r>
      <w:r w:rsidRPr="00E41C57">
        <w:t>52.</w:t>
      </w:r>
      <w:r>
        <w:rPr>
          <w:i/>
        </w:rPr>
        <w:t xml:space="preserve">  </w:t>
      </w:r>
      <w:r w:rsidR="00436BD3">
        <w:t xml:space="preserve"> </w:t>
      </w:r>
      <w:hyperlink r:id="rId10" w:history="1">
        <w:r w:rsidRPr="00BC4078">
          <w:rPr>
            <w:rStyle w:val="Hyperlink"/>
          </w:rPr>
          <w:t>https://assets.publishing.service.gov.uk/government/uploads/system/uploads/attachment_data/file/116549/horr52-report.pdf</w:t>
        </w:r>
      </w:hyperlink>
      <w:r>
        <w:t xml:space="preserve"> </w:t>
      </w:r>
      <w:r w:rsidRPr="00A70692">
        <w:rPr>
          <w:rFonts w:cstheme="minorHAnsi"/>
        </w:rPr>
        <w:t>(Accessed 22nd January 2020).</w:t>
      </w:r>
    </w:p>
    <w:p w14:paraId="601C3646" w14:textId="77777777" w:rsidR="00A70692" w:rsidRDefault="00A70692" w:rsidP="00A70692">
      <w:pPr>
        <w:jc w:val="both"/>
        <w:rPr>
          <w:rFonts w:cstheme="minorHAnsi"/>
        </w:rPr>
      </w:pPr>
      <w:r>
        <w:rPr>
          <w:rFonts w:eastAsia="Times New Roman" w:cstheme="minorHAnsi"/>
          <w:color w:val="333333"/>
          <w:lang w:eastAsia="en-GB"/>
        </w:rPr>
        <w:t xml:space="preserve">Christmas, H. &amp; Srivastava, J. (2019) </w:t>
      </w:r>
      <w:r w:rsidRPr="00E41C57">
        <w:rPr>
          <w:rFonts w:eastAsia="Times New Roman" w:cstheme="minorHAnsi"/>
          <w:i/>
          <w:color w:val="333333"/>
          <w:lang w:eastAsia="en-GB"/>
        </w:rPr>
        <w:t xml:space="preserve">Public health approaches in policing: A discussion paper. College of Policing and Public England. </w:t>
      </w:r>
      <w:r>
        <w:rPr>
          <w:rFonts w:eastAsia="Times New Roman" w:cstheme="minorHAnsi"/>
          <w:color w:val="333333"/>
          <w:lang w:eastAsia="en-GB"/>
        </w:rPr>
        <w:t xml:space="preserve"> </w:t>
      </w:r>
      <w:hyperlink r:id="rId11" w:history="1">
        <w:r w:rsidRPr="00BC4078">
          <w:rPr>
            <w:rStyle w:val="Hyperlink"/>
            <w:rFonts w:eastAsia="Times New Roman" w:cstheme="minorHAnsi"/>
            <w:lang w:eastAsia="en-GB"/>
          </w:rPr>
          <w:t>https://www.college.police.uk/What-we-do/Support/uniformed-policing-faculty/Documents/Public%20Health%20Approaches.pdf</w:t>
        </w:r>
      </w:hyperlink>
      <w:r>
        <w:rPr>
          <w:rFonts w:eastAsia="Times New Roman" w:cstheme="minorHAnsi"/>
          <w:color w:val="333333"/>
          <w:lang w:eastAsia="en-GB"/>
        </w:rPr>
        <w:t xml:space="preserve"> </w:t>
      </w:r>
      <w:r w:rsidRPr="00A70692">
        <w:rPr>
          <w:rFonts w:cstheme="minorHAnsi"/>
        </w:rPr>
        <w:t>(Accessed 22nd January 2020).</w:t>
      </w:r>
    </w:p>
    <w:p w14:paraId="0A4B2859" w14:textId="77777777" w:rsidR="00A70692" w:rsidRDefault="00BE5D21" w:rsidP="00A70692">
      <w:pPr>
        <w:jc w:val="both"/>
        <w:rPr>
          <w:rFonts w:cstheme="minorHAnsi"/>
        </w:rPr>
      </w:pPr>
      <w:proofErr w:type="spellStart"/>
      <w:r>
        <w:t>Craston</w:t>
      </w:r>
      <w:proofErr w:type="spellEnd"/>
      <w:r>
        <w:t xml:space="preserve">, M., Balfour, R., Henley, M., Baxendale, J. &amp; Fullick, S.  (2020) </w:t>
      </w:r>
      <w:r w:rsidRPr="00BE5D21">
        <w:rPr>
          <w:i/>
        </w:rPr>
        <w:t>Process evaluation of the Violence Reduction Units</w:t>
      </w:r>
      <w:r>
        <w:rPr>
          <w:i/>
        </w:rPr>
        <w:t>,</w:t>
      </w:r>
      <w:r>
        <w:t xml:space="preserve"> Research Report 116. London: Home Office. </w:t>
      </w:r>
      <w:hyperlink r:id="rId12" w:history="1">
        <w:r w:rsidR="003A0AC6" w:rsidRPr="00BE5D21">
          <w:rPr>
            <w:rStyle w:val="Hyperlink"/>
            <w:rFonts w:cstheme="minorHAnsi"/>
          </w:rPr>
          <w:t>https://assets.publishing.service.gov.uk/government/uploads/system/uploads/attachment_data/file/910822/process-evaluation-of-the-violence-reduction-units-horr116.pdf</w:t>
        </w:r>
      </w:hyperlink>
      <w:r w:rsidR="003A0AC6" w:rsidRPr="00BE5D21">
        <w:rPr>
          <w:rFonts w:cstheme="minorHAnsi"/>
        </w:rPr>
        <w:t xml:space="preserve"> (Accessed 15th January 2020)</w:t>
      </w:r>
      <w:r>
        <w:rPr>
          <w:rFonts w:cstheme="minorHAnsi"/>
        </w:rPr>
        <w:t>.</w:t>
      </w:r>
    </w:p>
    <w:p w14:paraId="114381BE" w14:textId="77777777" w:rsidR="00A70692" w:rsidRDefault="00A70692" w:rsidP="00A70692">
      <w:pPr>
        <w:jc w:val="both"/>
        <w:rPr>
          <w:rFonts w:cstheme="minorHAnsi"/>
        </w:rPr>
      </w:pPr>
      <w:r w:rsidRPr="003A0AC6">
        <w:rPr>
          <w:rFonts w:eastAsia="Times New Roman" w:cstheme="minorHAnsi"/>
          <w:color w:val="333333"/>
          <w:lang w:eastAsia="en-GB"/>
        </w:rPr>
        <w:t>Ganpat</w:t>
      </w:r>
      <w:r>
        <w:rPr>
          <w:rFonts w:eastAsia="Times New Roman" w:cstheme="minorHAnsi"/>
          <w:color w:val="333333"/>
          <w:lang w:eastAsia="en-GB"/>
        </w:rPr>
        <w:t>,</w:t>
      </w:r>
      <w:r w:rsidRPr="003A0AC6">
        <w:rPr>
          <w:rFonts w:eastAsia="Times New Roman" w:cstheme="minorHAnsi"/>
          <w:color w:val="333333"/>
          <w:lang w:eastAsia="en-GB"/>
        </w:rPr>
        <w:t xml:space="preserve"> S</w:t>
      </w:r>
      <w:r>
        <w:rPr>
          <w:rFonts w:eastAsia="Times New Roman" w:cstheme="minorHAnsi"/>
          <w:color w:val="333333"/>
          <w:lang w:eastAsia="en-GB"/>
        </w:rPr>
        <w:t>.</w:t>
      </w:r>
      <w:r w:rsidRPr="003A0AC6">
        <w:rPr>
          <w:rFonts w:eastAsia="Times New Roman" w:cstheme="minorHAnsi"/>
          <w:color w:val="333333"/>
          <w:lang w:eastAsia="en-GB"/>
        </w:rPr>
        <w:t>M</w:t>
      </w:r>
      <w:r>
        <w:rPr>
          <w:rFonts w:eastAsia="Times New Roman" w:cstheme="minorHAnsi"/>
          <w:color w:val="333333"/>
          <w:lang w:eastAsia="en-GB"/>
        </w:rPr>
        <w:t>.</w:t>
      </w:r>
      <w:r w:rsidRPr="003A0AC6">
        <w:rPr>
          <w:rFonts w:eastAsia="Times New Roman" w:cstheme="minorHAnsi"/>
          <w:color w:val="333333"/>
          <w:lang w:eastAsia="en-GB"/>
        </w:rPr>
        <w:t xml:space="preserve">, </w:t>
      </w:r>
      <w:proofErr w:type="spellStart"/>
      <w:r w:rsidRPr="003A0AC6">
        <w:rPr>
          <w:rFonts w:eastAsia="Times New Roman" w:cstheme="minorHAnsi"/>
          <w:color w:val="333333"/>
          <w:lang w:eastAsia="en-GB"/>
        </w:rPr>
        <w:t>Garius</w:t>
      </w:r>
      <w:proofErr w:type="spellEnd"/>
      <w:r>
        <w:rPr>
          <w:rFonts w:eastAsia="Times New Roman" w:cstheme="minorHAnsi"/>
          <w:color w:val="333333"/>
          <w:lang w:eastAsia="en-GB"/>
        </w:rPr>
        <w:t>, L.,</w:t>
      </w:r>
      <w:r w:rsidRPr="003A0AC6">
        <w:rPr>
          <w:rFonts w:eastAsia="Times New Roman" w:cstheme="minorHAnsi"/>
          <w:color w:val="333333"/>
          <w:lang w:eastAsia="en-GB"/>
        </w:rPr>
        <w:t xml:space="preserve"> </w:t>
      </w:r>
      <w:proofErr w:type="spellStart"/>
      <w:r w:rsidRPr="003A0AC6">
        <w:rPr>
          <w:rFonts w:eastAsia="Times New Roman" w:cstheme="minorHAnsi"/>
          <w:color w:val="333333"/>
          <w:lang w:eastAsia="en-GB"/>
        </w:rPr>
        <w:t>Tseloni</w:t>
      </w:r>
      <w:proofErr w:type="spellEnd"/>
      <w:r>
        <w:rPr>
          <w:rFonts w:eastAsia="Times New Roman" w:cstheme="minorHAnsi"/>
          <w:color w:val="333333"/>
          <w:lang w:eastAsia="en-GB"/>
        </w:rPr>
        <w:t>, A. &amp;</w:t>
      </w:r>
      <w:r w:rsidRPr="003A0AC6">
        <w:rPr>
          <w:rFonts w:eastAsia="Times New Roman" w:cstheme="minorHAnsi"/>
          <w:color w:val="333333"/>
          <w:lang w:eastAsia="en-GB"/>
        </w:rPr>
        <w:t xml:space="preserve"> Tilley</w:t>
      </w:r>
      <w:r>
        <w:rPr>
          <w:rFonts w:eastAsia="Times New Roman" w:cstheme="minorHAnsi"/>
          <w:color w:val="333333"/>
          <w:lang w:eastAsia="en-GB"/>
        </w:rPr>
        <w:t>,</w:t>
      </w:r>
      <w:r w:rsidRPr="003A0AC6">
        <w:rPr>
          <w:rFonts w:eastAsia="Times New Roman" w:cstheme="minorHAnsi"/>
          <w:color w:val="333333"/>
          <w:lang w:eastAsia="en-GB"/>
        </w:rPr>
        <w:t xml:space="preserve"> N. Violence and the crime drop. </w:t>
      </w:r>
      <w:r w:rsidRPr="003A0AC6">
        <w:rPr>
          <w:rFonts w:eastAsia="Times New Roman" w:cstheme="minorHAnsi"/>
          <w:i/>
          <w:iCs/>
          <w:color w:val="333333"/>
          <w:lang w:eastAsia="en-GB"/>
        </w:rPr>
        <w:t>European Journal of Criminology</w:t>
      </w:r>
      <w:r w:rsidRPr="003A0AC6">
        <w:rPr>
          <w:rFonts w:eastAsia="Times New Roman" w:cstheme="minorHAnsi"/>
          <w:color w:val="333333"/>
          <w:lang w:eastAsia="en-GB"/>
        </w:rPr>
        <w:t>. May 2020. doi:</w:t>
      </w:r>
      <w:hyperlink r:id="rId13" w:history="1">
        <w:r w:rsidRPr="00BE5D21">
          <w:rPr>
            <w:rFonts w:eastAsia="Times New Roman" w:cstheme="minorHAnsi"/>
            <w:color w:val="006ACC"/>
            <w:u w:val="single"/>
            <w:lang w:eastAsia="en-GB"/>
          </w:rPr>
          <w:t>10.1177/1477370820913456</w:t>
        </w:r>
      </w:hyperlink>
    </w:p>
    <w:p w14:paraId="66AC6953" w14:textId="65D51E54" w:rsidR="00A70692" w:rsidRPr="00A70692" w:rsidRDefault="00A70692" w:rsidP="00A70692">
      <w:pPr>
        <w:jc w:val="both"/>
        <w:rPr>
          <w:rFonts w:cstheme="minorHAnsi"/>
        </w:rPr>
      </w:pPr>
      <w:r w:rsidRPr="00A70692">
        <w:rPr>
          <w:rFonts w:cstheme="minorHAnsi"/>
        </w:rPr>
        <w:t xml:space="preserve">Grimshaw, R. &amp; Ford, M. (2018). </w:t>
      </w:r>
      <w:r w:rsidRPr="00A70692">
        <w:rPr>
          <w:rFonts w:cstheme="minorHAnsi"/>
          <w:i/>
        </w:rPr>
        <w:t xml:space="preserve">Young people, violence and knives – revisiting the evidence </w:t>
      </w:r>
      <w:r w:rsidRPr="00A70692">
        <w:rPr>
          <w:rFonts w:cstheme="minorHAnsi"/>
          <w:i/>
        </w:rPr>
        <w:t>and policy discussions.</w:t>
      </w:r>
      <w:r w:rsidRPr="00A70692">
        <w:rPr>
          <w:rFonts w:cstheme="minorHAnsi"/>
        </w:rPr>
        <w:t xml:space="preserve"> UK Justice Policy Review Focus Issues 3. Centre for Crime and Justice Studies. </w:t>
      </w:r>
      <w:hyperlink r:id="rId14" w:history="1">
        <w:r w:rsidRPr="00A70692">
          <w:rPr>
            <w:rStyle w:val="Hyperlink"/>
            <w:rFonts w:cstheme="minorHAnsi"/>
          </w:rPr>
          <w:t>https://www.crimeandjustice.org.uk/publications/young-people-violence-and-knives-revisiting-evidence-and-policy-discussions</w:t>
        </w:r>
      </w:hyperlink>
      <w:r w:rsidRPr="00A70692">
        <w:rPr>
          <w:rFonts w:cstheme="minorHAnsi"/>
        </w:rPr>
        <w:t xml:space="preserve"> (Accessed 22nd January 2020).</w:t>
      </w:r>
    </w:p>
    <w:p w14:paraId="7E358403" w14:textId="56722813" w:rsidR="00BE5D21" w:rsidRDefault="00BE5D21" w:rsidP="00BE5D21">
      <w:pPr>
        <w:jc w:val="both"/>
        <w:rPr>
          <w:rFonts w:cstheme="minorHAnsi"/>
        </w:rPr>
      </w:pPr>
      <w:r>
        <w:t xml:space="preserve">MacLeod, S., </w:t>
      </w:r>
      <w:proofErr w:type="spellStart"/>
      <w:r>
        <w:t>Cutmore</w:t>
      </w:r>
      <w:proofErr w:type="spellEnd"/>
      <w:r>
        <w:t xml:space="preserve">, M., </w:t>
      </w:r>
      <w:proofErr w:type="spellStart"/>
      <w:r>
        <w:t>Deoudes</w:t>
      </w:r>
      <w:proofErr w:type="spellEnd"/>
      <w:r>
        <w:t>, P. &amp; Brennan, I.  (2020)</w:t>
      </w:r>
      <w:r>
        <w:rPr>
          <w:b/>
          <w:sz w:val="24"/>
          <w:szCs w:val="24"/>
        </w:rPr>
        <w:t xml:space="preserve"> </w:t>
      </w:r>
      <w:r w:rsidRPr="00BE5D21">
        <w:rPr>
          <w:i/>
        </w:rPr>
        <w:t>Violence Reduction Units – Impact evaluation feasibility study Summary report for VRUs and wider stakeholders</w:t>
      </w:r>
      <w:r>
        <w:rPr>
          <w:i/>
        </w:rPr>
        <w:t>,</w:t>
      </w:r>
      <w:r>
        <w:t xml:space="preserve"> Research Report 117. London: Home Office.  </w:t>
      </w:r>
      <w:hyperlink r:id="rId15" w:history="1">
        <w:r w:rsidRPr="0049043A">
          <w:rPr>
            <w:rStyle w:val="Hyperlink"/>
          </w:rPr>
          <w:t>https://assets.publishing.service.gov.uk/government/uploads/system/uploads/attachment_data/file/910823/violence-reduction-units-impact-evaluation-feasibility-study-horr117.pdf</w:t>
        </w:r>
      </w:hyperlink>
      <w:r>
        <w:t xml:space="preserve"> </w:t>
      </w:r>
      <w:r w:rsidRPr="00BE5D21">
        <w:rPr>
          <w:rFonts w:cstheme="minorHAnsi"/>
        </w:rPr>
        <w:t>(Accessed 15th January 2020)</w:t>
      </w:r>
      <w:r>
        <w:rPr>
          <w:rFonts w:cstheme="minorHAnsi"/>
        </w:rPr>
        <w:t>.</w:t>
      </w:r>
    </w:p>
    <w:p w14:paraId="718A6E96" w14:textId="521EBB9D" w:rsidR="00BE5D21" w:rsidRDefault="00BE5D21" w:rsidP="00BE5D21">
      <w:pPr>
        <w:jc w:val="both"/>
        <w:rPr>
          <w:rFonts w:cstheme="minorHAnsi"/>
        </w:rPr>
      </w:pPr>
      <w:r>
        <w:rPr>
          <w:rFonts w:cstheme="minorHAnsi"/>
        </w:rPr>
        <w:t xml:space="preserve">HM Government (2018) Serious Violence Strategy April 2018. </w:t>
      </w:r>
      <w:r>
        <w:t>London: Home Office.</w:t>
      </w:r>
      <w:r>
        <w:rPr>
          <w:rFonts w:cstheme="minorHAnsi"/>
          <w:b/>
        </w:rPr>
        <w:t xml:space="preserve"> </w:t>
      </w:r>
      <w:hyperlink r:id="rId16" w:history="1">
        <w:r w:rsidRPr="0049043A">
          <w:rPr>
            <w:rStyle w:val="Hyperlink"/>
            <w:rFonts w:cstheme="minorHAnsi"/>
          </w:rPr>
          <w:t>https://assets.publishing.service.gov.uk/government/uploads/system/uploads/attachment_data/file/698009/serious-violence-strategy.pdf</w:t>
        </w:r>
      </w:hyperlink>
      <w:r w:rsidRPr="00BE5D21">
        <w:rPr>
          <w:rFonts w:cstheme="minorHAnsi"/>
        </w:rPr>
        <w:t xml:space="preserve"> (Accessed 15th January 2020)</w:t>
      </w:r>
    </w:p>
    <w:p w14:paraId="42154956" w14:textId="13ECC5CC" w:rsidR="00BE5D21" w:rsidRDefault="00E41C57" w:rsidP="00641F3B">
      <w:pPr>
        <w:jc w:val="both"/>
        <w:rPr>
          <w:rFonts w:cstheme="minorHAnsi"/>
        </w:rPr>
      </w:pPr>
      <w:r>
        <w:t xml:space="preserve">Home Office (2019) </w:t>
      </w:r>
      <w:r w:rsidRPr="00E41C57">
        <w:rPr>
          <w:i/>
        </w:rPr>
        <w:t>Consultation on a new legal duty to support a multi-agency approach to preventing and tackling serious violence Government response</w:t>
      </w:r>
      <w:r>
        <w:rPr>
          <w:i/>
        </w:rPr>
        <w:t xml:space="preserve">. </w:t>
      </w:r>
      <w:hyperlink r:id="rId17" w:history="1">
        <w:r w:rsidRPr="00BC4078">
          <w:rPr>
            <w:rStyle w:val="Hyperlink"/>
            <w:i/>
          </w:rPr>
          <w:t>https://assets.publishing.service.gov.uk/government/uploads/system/uploads/attachment_data/file/816885/Government_Response_-_Serious_Violence_Consultation_Final.pdf</w:t>
        </w:r>
      </w:hyperlink>
      <w:r>
        <w:rPr>
          <w:i/>
        </w:rPr>
        <w:t xml:space="preserve"> </w:t>
      </w:r>
      <w:r w:rsidRPr="00BE5D21">
        <w:rPr>
          <w:rFonts w:cstheme="minorHAnsi"/>
        </w:rPr>
        <w:t>(Accessed 15th January 2020)</w:t>
      </w:r>
      <w:r>
        <w:rPr>
          <w:rFonts w:cstheme="minorHAnsi"/>
        </w:rPr>
        <w:t>.</w:t>
      </w:r>
    </w:p>
    <w:p w14:paraId="604E1587" w14:textId="7D07B6B0" w:rsidR="00FA258E" w:rsidRDefault="00FA258E" w:rsidP="00641F3B">
      <w:pPr>
        <w:jc w:val="both"/>
      </w:pPr>
      <w:proofErr w:type="spellStart"/>
      <w:r>
        <w:t>Quigg</w:t>
      </w:r>
      <w:proofErr w:type="spellEnd"/>
      <w:r>
        <w:t xml:space="preserve"> Z, Timpson H, Newbury A, Butler N, Barton E, Snowdon L (2020). </w:t>
      </w:r>
      <w:r w:rsidRPr="006552E4">
        <w:rPr>
          <w:i/>
        </w:rPr>
        <w:t>Violence Prevention Evaluation Toolkit</w:t>
      </w:r>
      <w:r>
        <w:t xml:space="preserve">. Liverpool/Cardiff; Public Health Institute, Liverpool John </w:t>
      </w:r>
      <w:proofErr w:type="spellStart"/>
      <w:r>
        <w:t>Moores</w:t>
      </w:r>
      <w:proofErr w:type="spellEnd"/>
      <w:r>
        <w:t xml:space="preserve"> University/Wales Violence Prevention Unit.</w:t>
      </w:r>
      <w:r w:rsidR="006552E4">
        <w:t xml:space="preserve"> </w:t>
      </w:r>
      <w:hyperlink r:id="rId18" w:history="1">
        <w:r w:rsidR="006552E4" w:rsidRPr="003A416C">
          <w:rPr>
            <w:rStyle w:val="Hyperlink"/>
          </w:rPr>
          <w:t>https://www.violencepreventionwales.co.uk/cms-assets/research/Violence-Prevention-Evaluation-Toolkit.pdf</w:t>
        </w:r>
      </w:hyperlink>
      <w:r w:rsidR="006552E4">
        <w:t xml:space="preserve"> </w:t>
      </w:r>
      <w:r w:rsidR="006552E4">
        <w:rPr>
          <w:rFonts w:cstheme="minorHAnsi"/>
        </w:rPr>
        <w:t xml:space="preserve">(Accessed </w:t>
      </w:r>
      <w:r w:rsidR="006552E4" w:rsidRPr="00BE5D21">
        <w:rPr>
          <w:rFonts w:cstheme="minorHAnsi"/>
        </w:rPr>
        <w:t xml:space="preserve">5th </w:t>
      </w:r>
      <w:r w:rsidR="006552E4">
        <w:rPr>
          <w:rFonts w:cstheme="minorHAnsi"/>
        </w:rPr>
        <w:t>February</w:t>
      </w:r>
      <w:r w:rsidR="006552E4" w:rsidRPr="00BE5D21">
        <w:rPr>
          <w:rFonts w:cstheme="minorHAnsi"/>
        </w:rPr>
        <w:t xml:space="preserve"> 2020)</w:t>
      </w:r>
      <w:r w:rsidR="006552E4">
        <w:rPr>
          <w:rFonts w:cstheme="minorHAnsi"/>
        </w:rPr>
        <w:t>.</w:t>
      </w:r>
    </w:p>
    <w:p w14:paraId="765CE0BB" w14:textId="77777777" w:rsidR="006552E4" w:rsidRDefault="006552E4" w:rsidP="006552E4">
      <w:pPr>
        <w:jc w:val="both"/>
      </w:pPr>
      <w:proofErr w:type="spellStart"/>
      <w:r>
        <w:t>Youansamouth</w:t>
      </w:r>
      <w:proofErr w:type="spellEnd"/>
      <w:r>
        <w:t xml:space="preserve">, L., Ruston, R. and Clarke, S. (2020). </w:t>
      </w:r>
      <w:r w:rsidRPr="006552E4">
        <w:rPr>
          <w:i/>
        </w:rPr>
        <w:t>Lancashire Violence Reduction Network: Outcomes Framework</w:t>
      </w:r>
      <w:r>
        <w:t xml:space="preserve">. Lancashire, </w:t>
      </w:r>
      <w:r>
        <w:lastRenderedPageBreak/>
        <w:t>Lancashire Violence Reduction Network.</w:t>
      </w:r>
      <w:r w:rsidRPr="006552E4">
        <w:t xml:space="preserve"> </w:t>
      </w:r>
      <w:hyperlink r:id="rId19" w:history="1">
        <w:r w:rsidRPr="003A416C">
          <w:rPr>
            <w:rStyle w:val="Hyperlink"/>
          </w:rPr>
          <w:t>https://www.lancsvrn.co.uk/wp-content/uploads/2020/10/Outcomes-Framework-Lancs-Violence-Reduction-Network.pdf</w:t>
        </w:r>
      </w:hyperlink>
      <w:r>
        <w:t xml:space="preserve"> </w:t>
      </w:r>
      <w:r>
        <w:rPr>
          <w:rFonts w:cstheme="minorHAnsi"/>
        </w:rPr>
        <w:t xml:space="preserve">(Accessed </w:t>
      </w:r>
      <w:r w:rsidRPr="00BE5D21">
        <w:rPr>
          <w:rFonts w:cstheme="minorHAnsi"/>
        </w:rPr>
        <w:t xml:space="preserve">5th </w:t>
      </w:r>
      <w:r>
        <w:rPr>
          <w:rFonts w:cstheme="minorHAnsi"/>
        </w:rPr>
        <w:t>February</w:t>
      </w:r>
      <w:r w:rsidRPr="00BE5D21">
        <w:rPr>
          <w:rFonts w:cstheme="minorHAnsi"/>
        </w:rPr>
        <w:t xml:space="preserve"> 2020)</w:t>
      </w:r>
      <w:r>
        <w:rPr>
          <w:rFonts w:cstheme="minorHAnsi"/>
        </w:rPr>
        <w:t>.</w:t>
      </w:r>
    </w:p>
    <w:p w14:paraId="7A8DFF43" w14:textId="77777777" w:rsidR="006552E4" w:rsidRPr="00641F3B" w:rsidRDefault="006552E4" w:rsidP="00641F3B">
      <w:pPr>
        <w:jc w:val="both"/>
        <w:rPr>
          <w:i/>
        </w:rPr>
      </w:pPr>
    </w:p>
    <w:sectPr w:rsidR="006552E4" w:rsidRPr="00641F3B" w:rsidSect="00541EE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DFDEE" w14:textId="77777777" w:rsidR="00426237" w:rsidRDefault="00426237" w:rsidP="008B41EB">
      <w:pPr>
        <w:spacing w:after="0" w:line="240" w:lineRule="auto"/>
      </w:pPr>
      <w:r>
        <w:separator/>
      </w:r>
    </w:p>
  </w:endnote>
  <w:endnote w:type="continuationSeparator" w:id="0">
    <w:p w14:paraId="45870B85" w14:textId="77777777" w:rsidR="00426237" w:rsidRDefault="00426237" w:rsidP="008B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610000"/>
      <w:docPartObj>
        <w:docPartGallery w:val="Page Numbers (Bottom of Page)"/>
        <w:docPartUnique/>
      </w:docPartObj>
    </w:sdtPr>
    <w:sdtEndPr>
      <w:rPr>
        <w:noProof/>
      </w:rPr>
    </w:sdtEndPr>
    <w:sdtContent>
      <w:p w14:paraId="4CD69A10" w14:textId="5FEF662C" w:rsidR="00A15802" w:rsidRDefault="00A15802">
        <w:pPr>
          <w:pStyle w:val="Footer"/>
          <w:jc w:val="center"/>
        </w:pPr>
        <w:r>
          <w:fldChar w:fldCharType="begin"/>
        </w:r>
        <w:r>
          <w:instrText xml:space="preserve"> PAGE   \* MERGEFORMAT </w:instrText>
        </w:r>
        <w:r>
          <w:fldChar w:fldCharType="separate"/>
        </w:r>
        <w:r w:rsidR="00A06714">
          <w:rPr>
            <w:noProof/>
          </w:rPr>
          <w:t>8</w:t>
        </w:r>
        <w:r>
          <w:rPr>
            <w:noProof/>
          </w:rPr>
          <w:fldChar w:fldCharType="end"/>
        </w:r>
      </w:p>
    </w:sdtContent>
  </w:sdt>
  <w:p w14:paraId="4A070E2C" w14:textId="77777777" w:rsidR="00A15802" w:rsidRDefault="00A1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BF78F" w14:textId="77777777" w:rsidR="00426237" w:rsidRDefault="00426237" w:rsidP="008B41EB">
      <w:pPr>
        <w:spacing w:after="0" w:line="240" w:lineRule="auto"/>
      </w:pPr>
      <w:r>
        <w:separator/>
      </w:r>
    </w:p>
  </w:footnote>
  <w:footnote w:type="continuationSeparator" w:id="0">
    <w:p w14:paraId="519BB713" w14:textId="77777777" w:rsidR="00426237" w:rsidRDefault="00426237" w:rsidP="008B41EB">
      <w:pPr>
        <w:spacing w:after="0" w:line="240" w:lineRule="auto"/>
      </w:pPr>
      <w:r>
        <w:continuationSeparator/>
      </w:r>
    </w:p>
  </w:footnote>
  <w:footnote w:id="1">
    <w:p w14:paraId="345991D2" w14:textId="646825B2" w:rsidR="00B55C0E" w:rsidRDefault="00B55C0E">
      <w:pPr>
        <w:pStyle w:val="FootnoteText"/>
      </w:pPr>
      <w:r>
        <w:rPr>
          <w:rStyle w:val="FootnoteReference"/>
        </w:rPr>
        <w:footnoteRef/>
      </w:r>
      <w:r>
        <w:t xml:space="preserve"> Many interventions crossover between ‘known risk’ and ‘potential risk’ groups. Only where respondents said that interventions were solely focused on ‘known risk’ groups were they then categorised into that group.   </w:t>
      </w:r>
    </w:p>
  </w:footnote>
  <w:footnote w:id="2">
    <w:p w14:paraId="32C9073A" w14:textId="77777777" w:rsidR="002A5358" w:rsidRDefault="002A5358" w:rsidP="002A5358">
      <w:pPr>
        <w:pStyle w:val="FootnoteText"/>
      </w:pPr>
      <w:r>
        <w:rPr>
          <w:rStyle w:val="FootnoteReference"/>
        </w:rPr>
        <w:footnoteRef/>
      </w:r>
      <w:r>
        <w:t xml:space="preserve"> It should be noted that a range of measures might often be used to test intervention efficacy. For example, reductions in offending might be measured though recorded crime, numbers of arrests, charges for serious violence etc.  </w:t>
      </w:r>
    </w:p>
  </w:footnote>
  <w:footnote w:id="3">
    <w:p w14:paraId="4D14EE2F" w14:textId="77777777" w:rsidR="00557E9B" w:rsidRPr="003C1B01" w:rsidRDefault="00557E9B" w:rsidP="00557E9B">
      <w:pPr>
        <w:pStyle w:val="FootnoteText"/>
      </w:pPr>
      <w:r>
        <w:rPr>
          <w:rStyle w:val="FootnoteReference"/>
        </w:rPr>
        <w:footnoteRef/>
      </w:r>
      <w:r>
        <w:t xml:space="preserve"> </w:t>
      </w:r>
      <w:r w:rsidRPr="003C1B01">
        <w:rPr>
          <w:rFonts w:cstheme="minorHAnsi"/>
        </w:rPr>
        <w:t xml:space="preserve">Such as </w:t>
      </w:r>
      <w:r w:rsidRPr="003C1B01">
        <w:rPr>
          <w:rFonts w:cstheme="minorHAnsi"/>
          <w:color w:val="0B0C0C"/>
          <w:shd w:val="clear" w:color="auto" w:fill="FFFFFF"/>
        </w:rPr>
        <w:t>police, local councils, local health bodies such as NHS Trusts, education representatives and youth offending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1399"/>
    <w:multiLevelType w:val="hybridMultilevel"/>
    <w:tmpl w:val="F018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222F6"/>
    <w:multiLevelType w:val="hybridMultilevel"/>
    <w:tmpl w:val="E9CE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E5E9E"/>
    <w:multiLevelType w:val="hybridMultilevel"/>
    <w:tmpl w:val="580A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849"/>
    <w:multiLevelType w:val="hybridMultilevel"/>
    <w:tmpl w:val="8AEAC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1116D"/>
    <w:multiLevelType w:val="hybridMultilevel"/>
    <w:tmpl w:val="04E0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D4A8F"/>
    <w:multiLevelType w:val="hybridMultilevel"/>
    <w:tmpl w:val="13C4A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E4053F"/>
    <w:multiLevelType w:val="hybridMultilevel"/>
    <w:tmpl w:val="E59C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62FED"/>
    <w:multiLevelType w:val="hybridMultilevel"/>
    <w:tmpl w:val="9DAA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C5BB8"/>
    <w:multiLevelType w:val="hybridMultilevel"/>
    <w:tmpl w:val="E088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F4D19"/>
    <w:multiLevelType w:val="hybridMultilevel"/>
    <w:tmpl w:val="BEA8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25E3A"/>
    <w:multiLevelType w:val="hybridMultilevel"/>
    <w:tmpl w:val="3E46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7"/>
  </w:num>
  <w:num w:numId="5">
    <w:abstractNumId w:val="6"/>
  </w:num>
  <w:num w:numId="6">
    <w:abstractNumId w:val="9"/>
  </w:num>
  <w:num w:numId="7">
    <w:abstractNumId w:val="8"/>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2D"/>
    <w:rsid w:val="00014B0D"/>
    <w:rsid w:val="00014C77"/>
    <w:rsid w:val="00040BE8"/>
    <w:rsid w:val="00041FCA"/>
    <w:rsid w:val="00061D7A"/>
    <w:rsid w:val="000642FB"/>
    <w:rsid w:val="00064937"/>
    <w:rsid w:val="00074333"/>
    <w:rsid w:val="000760B9"/>
    <w:rsid w:val="000908DE"/>
    <w:rsid w:val="000A6BF1"/>
    <w:rsid w:val="000D010E"/>
    <w:rsid w:val="000D175E"/>
    <w:rsid w:val="00104E73"/>
    <w:rsid w:val="00110756"/>
    <w:rsid w:val="00115178"/>
    <w:rsid w:val="00161E41"/>
    <w:rsid w:val="00162A38"/>
    <w:rsid w:val="001809BC"/>
    <w:rsid w:val="001830D1"/>
    <w:rsid w:val="00192E19"/>
    <w:rsid w:val="001C42EF"/>
    <w:rsid w:val="001D33B8"/>
    <w:rsid w:val="001E3A51"/>
    <w:rsid w:val="002270E6"/>
    <w:rsid w:val="00241781"/>
    <w:rsid w:val="0024549A"/>
    <w:rsid w:val="00251A37"/>
    <w:rsid w:val="0025583E"/>
    <w:rsid w:val="002670D1"/>
    <w:rsid w:val="00277F2B"/>
    <w:rsid w:val="00297E21"/>
    <w:rsid w:val="002A5358"/>
    <w:rsid w:val="002C0114"/>
    <w:rsid w:val="002C0E57"/>
    <w:rsid w:val="002C4AD3"/>
    <w:rsid w:val="002F7791"/>
    <w:rsid w:val="00306881"/>
    <w:rsid w:val="00311BF7"/>
    <w:rsid w:val="00313F46"/>
    <w:rsid w:val="00314140"/>
    <w:rsid w:val="00333646"/>
    <w:rsid w:val="00342CEE"/>
    <w:rsid w:val="00354681"/>
    <w:rsid w:val="00396E86"/>
    <w:rsid w:val="003A0AC6"/>
    <w:rsid w:val="003B43A2"/>
    <w:rsid w:val="003C1B01"/>
    <w:rsid w:val="003D15A6"/>
    <w:rsid w:val="00407350"/>
    <w:rsid w:val="0041056F"/>
    <w:rsid w:val="00414C5E"/>
    <w:rsid w:val="00426237"/>
    <w:rsid w:val="00436BD3"/>
    <w:rsid w:val="00452A19"/>
    <w:rsid w:val="00455A9C"/>
    <w:rsid w:val="00477FBB"/>
    <w:rsid w:val="004A2E0C"/>
    <w:rsid w:val="004C2E9B"/>
    <w:rsid w:val="00513D6C"/>
    <w:rsid w:val="00520F1D"/>
    <w:rsid w:val="00530A30"/>
    <w:rsid w:val="00541EEE"/>
    <w:rsid w:val="00552D83"/>
    <w:rsid w:val="005542FA"/>
    <w:rsid w:val="0055636B"/>
    <w:rsid w:val="00557E9B"/>
    <w:rsid w:val="00564C71"/>
    <w:rsid w:val="005849AC"/>
    <w:rsid w:val="00592CEE"/>
    <w:rsid w:val="005A20D4"/>
    <w:rsid w:val="005B1E48"/>
    <w:rsid w:val="005E26AC"/>
    <w:rsid w:val="00610DEF"/>
    <w:rsid w:val="00641F3B"/>
    <w:rsid w:val="0065101A"/>
    <w:rsid w:val="006552E4"/>
    <w:rsid w:val="00660400"/>
    <w:rsid w:val="00674684"/>
    <w:rsid w:val="006C4027"/>
    <w:rsid w:val="006C6AC7"/>
    <w:rsid w:val="006C7332"/>
    <w:rsid w:val="006D6D06"/>
    <w:rsid w:val="00721C26"/>
    <w:rsid w:val="00725140"/>
    <w:rsid w:val="00734E7B"/>
    <w:rsid w:val="0073588D"/>
    <w:rsid w:val="007621F6"/>
    <w:rsid w:val="00771359"/>
    <w:rsid w:val="007745AC"/>
    <w:rsid w:val="00794C69"/>
    <w:rsid w:val="007C4D65"/>
    <w:rsid w:val="007C5697"/>
    <w:rsid w:val="008057B3"/>
    <w:rsid w:val="00850306"/>
    <w:rsid w:val="00870EB1"/>
    <w:rsid w:val="008B41EB"/>
    <w:rsid w:val="008F2133"/>
    <w:rsid w:val="009004CD"/>
    <w:rsid w:val="00910F10"/>
    <w:rsid w:val="0091710A"/>
    <w:rsid w:val="009338E0"/>
    <w:rsid w:val="0093489A"/>
    <w:rsid w:val="0094192C"/>
    <w:rsid w:val="009622E6"/>
    <w:rsid w:val="00964CA9"/>
    <w:rsid w:val="00993101"/>
    <w:rsid w:val="009A3A9B"/>
    <w:rsid w:val="009C4A57"/>
    <w:rsid w:val="009D3DB2"/>
    <w:rsid w:val="009D7EBB"/>
    <w:rsid w:val="009E01EE"/>
    <w:rsid w:val="009E63FE"/>
    <w:rsid w:val="009E682A"/>
    <w:rsid w:val="00A06714"/>
    <w:rsid w:val="00A13BB9"/>
    <w:rsid w:val="00A15802"/>
    <w:rsid w:val="00A245AA"/>
    <w:rsid w:val="00A26C6A"/>
    <w:rsid w:val="00A70692"/>
    <w:rsid w:val="00A76BBE"/>
    <w:rsid w:val="00A96E5C"/>
    <w:rsid w:val="00AD5C75"/>
    <w:rsid w:val="00B034AD"/>
    <w:rsid w:val="00B15243"/>
    <w:rsid w:val="00B204E8"/>
    <w:rsid w:val="00B27178"/>
    <w:rsid w:val="00B31C6D"/>
    <w:rsid w:val="00B42D19"/>
    <w:rsid w:val="00B55C0E"/>
    <w:rsid w:val="00B567F1"/>
    <w:rsid w:val="00B70AB4"/>
    <w:rsid w:val="00B72B89"/>
    <w:rsid w:val="00B733BC"/>
    <w:rsid w:val="00B83D2D"/>
    <w:rsid w:val="00B86ED1"/>
    <w:rsid w:val="00B9572E"/>
    <w:rsid w:val="00BB419C"/>
    <w:rsid w:val="00BC5831"/>
    <w:rsid w:val="00BD7521"/>
    <w:rsid w:val="00BE5D21"/>
    <w:rsid w:val="00C37DA4"/>
    <w:rsid w:val="00C553EE"/>
    <w:rsid w:val="00C705A5"/>
    <w:rsid w:val="00C72F8B"/>
    <w:rsid w:val="00C74A7E"/>
    <w:rsid w:val="00CB1BFC"/>
    <w:rsid w:val="00CB600D"/>
    <w:rsid w:val="00CC0492"/>
    <w:rsid w:val="00CC0881"/>
    <w:rsid w:val="00CF2B73"/>
    <w:rsid w:val="00CF4B2C"/>
    <w:rsid w:val="00D0506E"/>
    <w:rsid w:val="00D1423C"/>
    <w:rsid w:val="00D2310C"/>
    <w:rsid w:val="00D523ED"/>
    <w:rsid w:val="00D553A0"/>
    <w:rsid w:val="00D56DE9"/>
    <w:rsid w:val="00D730F9"/>
    <w:rsid w:val="00D73AEE"/>
    <w:rsid w:val="00D876C9"/>
    <w:rsid w:val="00DE615D"/>
    <w:rsid w:val="00DF2D79"/>
    <w:rsid w:val="00E32A88"/>
    <w:rsid w:val="00E345B0"/>
    <w:rsid w:val="00E3544F"/>
    <w:rsid w:val="00E41C57"/>
    <w:rsid w:val="00E46114"/>
    <w:rsid w:val="00E63453"/>
    <w:rsid w:val="00E71BDE"/>
    <w:rsid w:val="00E84010"/>
    <w:rsid w:val="00E96673"/>
    <w:rsid w:val="00E96D15"/>
    <w:rsid w:val="00ED0F41"/>
    <w:rsid w:val="00EF6344"/>
    <w:rsid w:val="00F01D2C"/>
    <w:rsid w:val="00F11922"/>
    <w:rsid w:val="00F6038F"/>
    <w:rsid w:val="00F72E98"/>
    <w:rsid w:val="00F90128"/>
    <w:rsid w:val="00F91E16"/>
    <w:rsid w:val="00FA258E"/>
    <w:rsid w:val="00FB03C0"/>
    <w:rsid w:val="00FC659A"/>
    <w:rsid w:val="00FE3A50"/>
    <w:rsid w:val="00FE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A408"/>
  <w15:chartTrackingRefBased/>
  <w15:docId w15:val="{6D038A22-3D1C-458F-993C-45FE1271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B89"/>
    <w:pPr>
      <w:ind w:left="720"/>
      <w:contextualSpacing/>
    </w:pPr>
  </w:style>
  <w:style w:type="character" w:styleId="CommentReference">
    <w:name w:val="annotation reference"/>
    <w:basedOn w:val="DefaultParagraphFont"/>
    <w:uiPriority w:val="99"/>
    <w:semiHidden/>
    <w:unhideWhenUsed/>
    <w:rsid w:val="009004CD"/>
    <w:rPr>
      <w:sz w:val="16"/>
      <w:szCs w:val="16"/>
    </w:rPr>
  </w:style>
  <w:style w:type="paragraph" w:styleId="CommentText">
    <w:name w:val="annotation text"/>
    <w:basedOn w:val="Normal"/>
    <w:link w:val="CommentTextChar"/>
    <w:uiPriority w:val="99"/>
    <w:semiHidden/>
    <w:unhideWhenUsed/>
    <w:rsid w:val="009004CD"/>
    <w:pPr>
      <w:spacing w:line="240" w:lineRule="auto"/>
    </w:pPr>
    <w:rPr>
      <w:sz w:val="20"/>
      <w:szCs w:val="20"/>
    </w:rPr>
  </w:style>
  <w:style w:type="character" w:customStyle="1" w:styleId="CommentTextChar">
    <w:name w:val="Comment Text Char"/>
    <w:basedOn w:val="DefaultParagraphFont"/>
    <w:link w:val="CommentText"/>
    <w:uiPriority w:val="99"/>
    <w:semiHidden/>
    <w:rsid w:val="009004CD"/>
    <w:rPr>
      <w:sz w:val="20"/>
      <w:szCs w:val="20"/>
    </w:rPr>
  </w:style>
  <w:style w:type="paragraph" w:styleId="CommentSubject">
    <w:name w:val="annotation subject"/>
    <w:basedOn w:val="CommentText"/>
    <w:next w:val="CommentText"/>
    <w:link w:val="CommentSubjectChar"/>
    <w:uiPriority w:val="99"/>
    <w:semiHidden/>
    <w:unhideWhenUsed/>
    <w:rsid w:val="009004CD"/>
    <w:rPr>
      <w:b/>
      <w:bCs/>
    </w:rPr>
  </w:style>
  <w:style w:type="character" w:customStyle="1" w:styleId="CommentSubjectChar">
    <w:name w:val="Comment Subject Char"/>
    <w:basedOn w:val="CommentTextChar"/>
    <w:link w:val="CommentSubject"/>
    <w:uiPriority w:val="99"/>
    <w:semiHidden/>
    <w:rsid w:val="009004CD"/>
    <w:rPr>
      <w:b/>
      <w:bCs/>
      <w:sz w:val="20"/>
      <w:szCs w:val="20"/>
    </w:rPr>
  </w:style>
  <w:style w:type="paragraph" w:styleId="BalloonText">
    <w:name w:val="Balloon Text"/>
    <w:basedOn w:val="Normal"/>
    <w:link w:val="BalloonTextChar"/>
    <w:uiPriority w:val="99"/>
    <w:semiHidden/>
    <w:unhideWhenUsed/>
    <w:rsid w:val="0090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CD"/>
    <w:rPr>
      <w:rFonts w:ascii="Segoe UI" w:hAnsi="Segoe UI" w:cs="Segoe UI"/>
      <w:sz w:val="18"/>
      <w:szCs w:val="18"/>
    </w:rPr>
  </w:style>
  <w:style w:type="paragraph" w:styleId="FootnoteText">
    <w:name w:val="footnote text"/>
    <w:basedOn w:val="Normal"/>
    <w:link w:val="FootnoteTextChar"/>
    <w:uiPriority w:val="99"/>
    <w:semiHidden/>
    <w:unhideWhenUsed/>
    <w:rsid w:val="008B4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1EB"/>
    <w:rPr>
      <w:sz w:val="20"/>
      <w:szCs w:val="20"/>
    </w:rPr>
  </w:style>
  <w:style w:type="character" w:styleId="FootnoteReference">
    <w:name w:val="footnote reference"/>
    <w:basedOn w:val="DefaultParagraphFont"/>
    <w:uiPriority w:val="99"/>
    <w:semiHidden/>
    <w:unhideWhenUsed/>
    <w:rsid w:val="008B41EB"/>
    <w:rPr>
      <w:vertAlign w:val="superscript"/>
    </w:rPr>
  </w:style>
  <w:style w:type="paragraph" w:styleId="Header">
    <w:name w:val="header"/>
    <w:basedOn w:val="Normal"/>
    <w:link w:val="HeaderChar"/>
    <w:uiPriority w:val="99"/>
    <w:unhideWhenUsed/>
    <w:rsid w:val="00A76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BBE"/>
  </w:style>
  <w:style w:type="paragraph" w:styleId="Footer">
    <w:name w:val="footer"/>
    <w:basedOn w:val="Normal"/>
    <w:link w:val="FooterChar"/>
    <w:uiPriority w:val="99"/>
    <w:unhideWhenUsed/>
    <w:rsid w:val="00A76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BE"/>
  </w:style>
  <w:style w:type="character" w:styleId="Hyperlink">
    <w:name w:val="Hyperlink"/>
    <w:basedOn w:val="DefaultParagraphFont"/>
    <w:uiPriority w:val="99"/>
    <w:unhideWhenUsed/>
    <w:rsid w:val="003A0AC6"/>
    <w:rPr>
      <w:color w:val="0000FF"/>
      <w:u w:val="single"/>
    </w:rPr>
  </w:style>
  <w:style w:type="table" w:styleId="GridTable1Light-Accent5">
    <w:name w:val="Grid Table 1 Light Accent 5"/>
    <w:basedOn w:val="TableNormal"/>
    <w:uiPriority w:val="46"/>
    <w:rsid w:val="00C37DA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37DA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C37DA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40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7721">
      <w:bodyDiv w:val="1"/>
      <w:marLeft w:val="0"/>
      <w:marRight w:val="0"/>
      <w:marTop w:val="0"/>
      <w:marBottom w:val="0"/>
      <w:divBdr>
        <w:top w:val="none" w:sz="0" w:space="0" w:color="auto"/>
        <w:left w:val="none" w:sz="0" w:space="0" w:color="auto"/>
        <w:bottom w:val="none" w:sz="0" w:space="0" w:color="auto"/>
        <w:right w:val="none" w:sz="0" w:space="0" w:color="auto"/>
      </w:divBdr>
      <w:divsChild>
        <w:div w:id="797919826">
          <w:marLeft w:val="0"/>
          <w:marRight w:val="0"/>
          <w:marTop w:val="0"/>
          <w:marBottom w:val="0"/>
          <w:divBdr>
            <w:top w:val="none" w:sz="0" w:space="0" w:color="auto"/>
            <w:left w:val="none" w:sz="0" w:space="0" w:color="auto"/>
            <w:bottom w:val="none" w:sz="0" w:space="0" w:color="auto"/>
            <w:right w:val="none" w:sz="0" w:space="0" w:color="auto"/>
          </w:divBdr>
        </w:div>
        <w:div w:id="105763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77/1477370820913456" TargetMode="External"/><Relationship Id="rId18" Type="http://schemas.openxmlformats.org/officeDocument/2006/relationships/hyperlink" Target="https://www.violencepreventionwales.co.uk/cms-assets/research/Violence-Prevention-Evaluation-Toolki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10822/process-evaluation-of-the-violence-reduction-units-horr116.pdf" TargetMode="External"/><Relationship Id="rId17" Type="http://schemas.openxmlformats.org/officeDocument/2006/relationships/hyperlink" Target="https://assets.publishing.service.gov.uk/government/uploads/system/uploads/attachment_data/file/816885/Government_Response_-_Serious_Violence_Consultation_Final.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98009/serious-violence-strateg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ge.police.uk/What-we-do/Support/uniformed-policing-faculty/Documents/Public%20Health%20Approaches.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10823/violence-reduction-units-impact-evaluation-feasibility-study-horr117.pdf" TargetMode="External"/><Relationship Id="rId10" Type="http://schemas.openxmlformats.org/officeDocument/2006/relationships/hyperlink" Target="https://assets.publishing.service.gov.uk/government/uploads/system/uploads/attachment_data/file/116549/horr52-report.pdf" TargetMode="External"/><Relationship Id="rId19" Type="http://schemas.openxmlformats.org/officeDocument/2006/relationships/hyperlink" Target="https://www.lancsvrn.co.uk/wp-content/uploads/2020/10/Outcomes-Framework-Lancs-Violence-Reduction-Network.pdf" TargetMode="External"/><Relationship Id="rId4" Type="http://schemas.openxmlformats.org/officeDocument/2006/relationships/settings" Target="settings.xml"/><Relationship Id="rId9" Type="http://schemas.openxmlformats.org/officeDocument/2006/relationships/hyperlink" Target="https://le.ac.uk/criminology/research/violence-reduction-information-network" TargetMode="External"/><Relationship Id="rId14" Type="http://schemas.openxmlformats.org/officeDocument/2006/relationships/hyperlink" Target="https://www.crimeandjustice.org.uk/publications/young-people-violence-and-knives-revisiting-evidence-and-policy-discu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5099-6EDA-4833-AA42-5F2B55C4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Hopkins</dc:creator>
  <cp:keywords/>
  <dc:description/>
  <cp:lastModifiedBy>John</cp:lastModifiedBy>
  <cp:revision>2</cp:revision>
  <dcterms:created xsi:type="dcterms:W3CDTF">2021-04-01T09:39:00Z</dcterms:created>
  <dcterms:modified xsi:type="dcterms:W3CDTF">2021-04-01T09:39:00Z</dcterms:modified>
</cp:coreProperties>
</file>